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47" w:rsidRDefault="00673C47" w:rsidP="00783C5D">
      <w:pPr>
        <w:pStyle w:val="a3"/>
        <w:ind w:right="105" w:firstLine="709"/>
        <w:jc w:val="both"/>
      </w:pPr>
    </w:p>
    <w:p w:rsidR="00673C47" w:rsidRDefault="00673C47" w:rsidP="00783C5D">
      <w:pPr>
        <w:pStyle w:val="a3"/>
        <w:ind w:right="105" w:firstLine="709"/>
        <w:jc w:val="both"/>
      </w:pPr>
    </w:p>
    <w:p w:rsidR="00673C47" w:rsidRDefault="00783C5D" w:rsidP="00783C5D">
      <w:pPr>
        <w:pStyle w:val="Heading1"/>
        <w:ind w:left="0" w:right="105" w:firstLine="709"/>
        <w:jc w:val="center"/>
        <w:rPr>
          <w:b w:val="0"/>
        </w:rPr>
      </w:pPr>
      <w:r>
        <w:t>О предоставлении информации о глобальном номере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GLN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кассового</w:t>
      </w:r>
      <w:r>
        <w:rPr>
          <w:lang w:val="ru-RU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торговых</w:t>
      </w:r>
      <w:r>
        <w:rPr>
          <w:spacing w:val="-3"/>
        </w:rPr>
        <w:t xml:space="preserve"> </w:t>
      </w:r>
      <w:r>
        <w:t>автоматов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СККО.</w:t>
      </w:r>
    </w:p>
    <w:p w:rsidR="00673C47" w:rsidRDefault="00783C5D" w:rsidP="00783C5D">
      <w:pPr>
        <w:pStyle w:val="a3"/>
        <w:ind w:right="105" w:firstLine="709"/>
        <w:jc w:val="both"/>
      </w:pPr>
      <w:r>
        <w:rPr>
          <w:color w:val="242424"/>
        </w:rPr>
        <w:t>С 1 июля 2025 года вступают в силу изменения в Инструкцию 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порядке установки, обслуживания, снятия средства контроля налоговых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органов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порядке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осуществления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функций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центра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обработки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данных,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утвержденную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постановлением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Министерства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налогам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сборам</w:t>
      </w:r>
      <w:r>
        <w:rPr>
          <w:color w:val="242424"/>
          <w:spacing w:val="-72"/>
        </w:rPr>
        <w:t xml:space="preserve"> </w:t>
      </w:r>
      <w:r>
        <w:rPr>
          <w:color w:val="242424"/>
        </w:rPr>
        <w:t>Республики Беларусь от 2 марта 2012 г. № 9, предусматривающие, в том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числе, внесение РУП «Информационно-издательский центр по налогам 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сборам»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центр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обработки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данных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системы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контроля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торговых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автоматов</w:t>
      </w:r>
      <w:r>
        <w:rPr>
          <w:color w:val="242424"/>
          <w:lang w:val="ru-RU"/>
        </w:rPr>
        <w:t xml:space="preserve"> </w:t>
      </w:r>
      <w:r>
        <w:rPr>
          <w:color w:val="242424"/>
        </w:rPr>
        <w:t>и системы контроля кассового оборудования (далее – ЦОД СККО и ЦОД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СККО соответственно) информации о глобальном номере расположения –</w:t>
      </w:r>
      <w:r>
        <w:rPr>
          <w:color w:val="242424"/>
          <w:spacing w:val="-72"/>
        </w:rPr>
        <w:t xml:space="preserve"> </w:t>
      </w:r>
      <w:r>
        <w:rPr>
          <w:color w:val="242424"/>
        </w:rPr>
        <w:t>Global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Location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Number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(GLN)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места установки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использования:</w:t>
      </w:r>
    </w:p>
    <w:p w:rsidR="00673C47" w:rsidRDefault="00783C5D" w:rsidP="00783C5D">
      <w:pPr>
        <w:pStyle w:val="a3"/>
        <w:ind w:right="105" w:firstLine="709"/>
        <w:jc w:val="both"/>
      </w:pPr>
      <w:r>
        <w:rPr>
          <w:color w:val="242424"/>
        </w:rPr>
        <w:t>-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автоматического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электронного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аппарата,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торгового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автомата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(далее</w:t>
      </w:r>
    </w:p>
    <w:p w:rsidR="00673C47" w:rsidRDefault="00783C5D" w:rsidP="00783C5D">
      <w:pPr>
        <w:pStyle w:val="a3"/>
        <w:ind w:right="105" w:firstLine="709"/>
        <w:jc w:val="both"/>
      </w:pPr>
      <w:r>
        <w:rPr>
          <w:color w:val="242424"/>
        </w:rPr>
        <w:t>– торговые автоматы);</w:t>
      </w:r>
    </w:p>
    <w:p w:rsidR="00673C47" w:rsidRDefault="00783C5D" w:rsidP="00783C5D">
      <w:pPr>
        <w:pStyle w:val="a3"/>
        <w:ind w:right="105" w:firstLine="709"/>
        <w:jc w:val="both"/>
      </w:pPr>
      <w:r>
        <w:rPr>
          <w:color w:val="242424"/>
        </w:rPr>
        <w:t>- кассового суммирующего аппарата, в том числе совмещенного 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таксометром,</w:t>
      </w:r>
      <w:r>
        <w:rPr>
          <w:color w:val="242424"/>
          <w:spacing w:val="76"/>
        </w:rPr>
        <w:t xml:space="preserve"> </w:t>
      </w:r>
      <w:r>
        <w:rPr>
          <w:color w:val="242424"/>
        </w:rPr>
        <w:t>билетопечатающей</w:t>
      </w:r>
      <w:r>
        <w:rPr>
          <w:color w:val="242424"/>
          <w:spacing w:val="76"/>
        </w:rPr>
        <w:t xml:space="preserve"> </w:t>
      </w:r>
      <w:r>
        <w:rPr>
          <w:color w:val="242424"/>
        </w:rPr>
        <w:t>машинам</w:t>
      </w:r>
      <w:r>
        <w:rPr>
          <w:color w:val="242424"/>
          <w:spacing w:val="76"/>
        </w:rPr>
        <w:t xml:space="preserve"> </w:t>
      </w:r>
      <w:r>
        <w:rPr>
          <w:color w:val="242424"/>
        </w:rPr>
        <w:t>(далее</w:t>
      </w:r>
      <w:r>
        <w:rPr>
          <w:color w:val="242424"/>
          <w:spacing w:val="76"/>
        </w:rPr>
        <w:t xml:space="preserve"> </w:t>
      </w:r>
      <w:r>
        <w:rPr>
          <w:color w:val="242424"/>
        </w:rPr>
        <w:t xml:space="preserve">–  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КСА),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программной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кассы;</w:t>
      </w:r>
    </w:p>
    <w:p w:rsidR="00673C47" w:rsidRDefault="00783C5D" w:rsidP="00783C5D">
      <w:pPr>
        <w:pStyle w:val="a3"/>
        <w:ind w:right="105" w:firstLine="709"/>
        <w:jc w:val="both"/>
      </w:pPr>
      <w:r>
        <w:rPr>
          <w:color w:val="242424"/>
        </w:rPr>
        <w:t>За получением GLN-номера необходимо обращаться в Ассоциацию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ГС1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Беларуси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(г.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Минск,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ул.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Судмалиса,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22,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4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этаж.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Тел.: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(+375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17)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249-09-75, 227-09-13, 224-06-60, 317-89-52; факс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(+375 17) 244-03-01, e-mail:</w:t>
      </w:r>
      <w:r>
        <w:rPr>
          <w:color w:val="242424"/>
          <w:lang w:val="ru-RU"/>
        </w:rPr>
        <w:t xml:space="preserve"> </w:t>
      </w:r>
      <w:hyperlink r:id="rId4">
        <w:r>
          <w:rPr>
            <w:color w:val="242424"/>
          </w:rPr>
          <w:t>info@gs1by.by,</w:t>
        </w:r>
        <w:r>
          <w:rPr>
            <w:color w:val="242424"/>
            <w:spacing w:val="-7"/>
          </w:rPr>
          <w:t xml:space="preserve"> </w:t>
        </w:r>
      </w:hyperlink>
      <w:r>
        <w:rPr>
          <w:color w:val="242424"/>
        </w:rPr>
        <w:t>порядок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получения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необходимая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справочная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информация</w:t>
      </w:r>
      <w:r>
        <w:rPr>
          <w:color w:val="242424"/>
          <w:spacing w:val="-73"/>
        </w:rPr>
        <w:t xml:space="preserve"> </w:t>
      </w:r>
      <w:r>
        <w:rPr>
          <w:color w:val="242424"/>
        </w:rPr>
        <w:t>размещены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сайте</w:t>
      </w:r>
      <w:r>
        <w:rPr>
          <w:color w:val="242424"/>
          <w:spacing w:val="-1"/>
        </w:rPr>
        <w:t xml:space="preserve"> </w:t>
      </w:r>
      <w:hyperlink r:id="rId5">
        <w:r>
          <w:rPr>
            <w:color w:val="242424"/>
          </w:rPr>
          <w:t>http://gs1by.by/</w:t>
        </w:r>
      </w:hyperlink>
    </w:p>
    <w:p w:rsidR="00673C47" w:rsidRDefault="00783C5D" w:rsidP="00783C5D">
      <w:pPr>
        <w:pStyle w:val="a3"/>
        <w:ind w:right="105" w:firstLine="709"/>
        <w:jc w:val="both"/>
      </w:pPr>
      <w:r>
        <w:rPr>
          <w:color w:val="242424"/>
        </w:rPr>
        <w:t>Обращаем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внимание,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что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ЦОД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СККО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ЦОД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СКТА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вносится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1"/>
        </w:rPr>
        <w:t>информация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1"/>
        </w:rPr>
        <w:t>о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1"/>
        </w:rPr>
        <w:t>месте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1"/>
        </w:rPr>
        <w:t>установки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использования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каждой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единицы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торгового</w:t>
      </w:r>
      <w:r>
        <w:rPr>
          <w:color w:val="242424"/>
          <w:spacing w:val="-72"/>
        </w:rPr>
        <w:t xml:space="preserve"> </w:t>
      </w:r>
      <w:r>
        <w:rPr>
          <w:color w:val="242424"/>
        </w:rPr>
        <w:t>автомата, КСА или программной кассы. Соответственно, до 01.07.2025 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РУП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«Информационно-издательский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центр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налогам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сборам»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субъектами хозяйствования, использующими торговые автоматы и (или)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кассовое оборудование должны быть представлены сведения о всех GLN-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номерах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мест их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установки и использования.</w:t>
      </w:r>
    </w:p>
    <w:p w:rsidR="00673C47" w:rsidRDefault="00783C5D" w:rsidP="00783C5D">
      <w:pPr>
        <w:ind w:right="105" w:firstLine="709"/>
        <w:jc w:val="both"/>
        <w:rPr>
          <w:i/>
          <w:sz w:val="30"/>
        </w:rPr>
      </w:pPr>
      <w:r>
        <w:rPr>
          <w:i/>
          <w:color w:val="242424"/>
          <w:sz w:val="30"/>
        </w:rPr>
        <w:t>Справочно.</w:t>
      </w:r>
      <w:r>
        <w:rPr>
          <w:i/>
          <w:color w:val="242424"/>
          <w:spacing w:val="1"/>
          <w:sz w:val="30"/>
        </w:rPr>
        <w:t xml:space="preserve"> </w:t>
      </w:r>
      <w:r>
        <w:rPr>
          <w:i/>
          <w:color w:val="242424"/>
          <w:sz w:val="30"/>
        </w:rPr>
        <w:t>В</w:t>
      </w:r>
      <w:r>
        <w:rPr>
          <w:i/>
          <w:color w:val="242424"/>
          <w:spacing w:val="1"/>
          <w:sz w:val="30"/>
        </w:rPr>
        <w:t xml:space="preserve"> </w:t>
      </w:r>
      <w:r>
        <w:rPr>
          <w:i/>
          <w:color w:val="242424"/>
          <w:sz w:val="30"/>
        </w:rPr>
        <w:t>случае</w:t>
      </w:r>
      <w:r>
        <w:rPr>
          <w:i/>
          <w:color w:val="242424"/>
          <w:spacing w:val="1"/>
          <w:sz w:val="30"/>
        </w:rPr>
        <w:t xml:space="preserve"> </w:t>
      </w:r>
      <w:r>
        <w:rPr>
          <w:i/>
          <w:color w:val="242424"/>
          <w:sz w:val="30"/>
        </w:rPr>
        <w:t>использования</w:t>
      </w:r>
      <w:r>
        <w:rPr>
          <w:i/>
          <w:color w:val="242424"/>
          <w:spacing w:val="1"/>
          <w:sz w:val="30"/>
        </w:rPr>
        <w:t xml:space="preserve"> </w:t>
      </w:r>
      <w:r>
        <w:rPr>
          <w:i/>
          <w:color w:val="242424"/>
          <w:sz w:val="30"/>
        </w:rPr>
        <w:t>кассового</w:t>
      </w:r>
      <w:r>
        <w:rPr>
          <w:i/>
          <w:color w:val="242424"/>
          <w:spacing w:val="1"/>
          <w:sz w:val="30"/>
        </w:rPr>
        <w:t xml:space="preserve"> </w:t>
      </w:r>
      <w:r>
        <w:rPr>
          <w:i/>
          <w:color w:val="242424"/>
          <w:sz w:val="30"/>
        </w:rPr>
        <w:t>оборудования</w:t>
      </w:r>
      <w:r>
        <w:rPr>
          <w:i/>
          <w:color w:val="242424"/>
          <w:spacing w:val="1"/>
          <w:sz w:val="30"/>
        </w:rPr>
        <w:t xml:space="preserve"> </w:t>
      </w:r>
      <w:r>
        <w:rPr>
          <w:i/>
          <w:color w:val="242424"/>
          <w:sz w:val="30"/>
        </w:rPr>
        <w:t>вне</w:t>
      </w:r>
      <w:r>
        <w:rPr>
          <w:i/>
          <w:color w:val="242424"/>
          <w:spacing w:val="1"/>
          <w:sz w:val="30"/>
        </w:rPr>
        <w:t xml:space="preserve"> </w:t>
      </w:r>
      <w:r>
        <w:rPr>
          <w:i/>
          <w:color w:val="242424"/>
          <w:sz w:val="30"/>
        </w:rPr>
        <w:t>постоянного места осуществления деятельности (развозная, разносная,</w:t>
      </w:r>
      <w:r>
        <w:rPr>
          <w:i/>
          <w:color w:val="242424"/>
          <w:spacing w:val="1"/>
          <w:sz w:val="30"/>
        </w:rPr>
        <w:t xml:space="preserve"> </w:t>
      </w:r>
      <w:r>
        <w:rPr>
          <w:i/>
          <w:color w:val="242424"/>
          <w:sz w:val="30"/>
        </w:rPr>
        <w:t>дистанционная торговля) в ЦОД СККО подлежит информация о GLN-</w:t>
      </w:r>
      <w:r>
        <w:rPr>
          <w:i/>
          <w:color w:val="242424"/>
          <w:spacing w:val="1"/>
          <w:sz w:val="30"/>
        </w:rPr>
        <w:t xml:space="preserve"> </w:t>
      </w:r>
      <w:r>
        <w:rPr>
          <w:i/>
          <w:color w:val="242424"/>
          <w:sz w:val="30"/>
        </w:rPr>
        <w:t>номере</w:t>
      </w:r>
      <w:r>
        <w:rPr>
          <w:i/>
          <w:color w:val="242424"/>
          <w:spacing w:val="1"/>
          <w:sz w:val="30"/>
        </w:rPr>
        <w:t xml:space="preserve"> </w:t>
      </w:r>
      <w:r>
        <w:rPr>
          <w:i/>
          <w:color w:val="242424"/>
          <w:sz w:val="30"/>
        </w:rPr>
        <w:t>головной</w:t>
      </w:r>
      <w:r>
        <w:rPr>
          <w:i/>
          <w:color w:val="242424"/>
          <w:spacing w:val="1"/>
          <w:sz w:val="30"/>
        </w:rPr>
        <w:t xml:space="preserve"> </w:t>
      </w:r>
      <w:r>
        <w:rPr>
          <w:i/>
          <w:color w:val="242424"/>
          <w:sz w:val="30"/>
        </w:rPr>
        <w:t>организации</w:t>
      </w:r>
      <w:r>
        <w:rPr>
          <w:i/>
          <w:color w:val="242424"/>
          <w:spacing w:val="1"/>
          <w:sz w:val="30"/>
        </w:rPr>
        <w:t xml:space="preserve"> </w:t>
      </w:r>
      <w:r>
        <w:rPr>
          <w:i/>
          <w:color w:val="242424"/>
          <w:sz w:val="30"/>
        </w:rPr>
        <w:t>(месте</w:t>
      </w:r>
      <w:r>
        <w:rPr>
          <w:i/>
          <w:color w:val="242424"/>
          <w:spacing w:val="1"/>
          <w:sz w:val="30"/>
        </w:rPr>
        <w:t xml:space="preserve"> </w:t>
      </w:r>
      <w:r>
        <w:rPr>
          <w:i/>
          <w:color w:val="242424"/>
          <w:sz w:val="30"/>
        </w:rPr>
        <w:t>нахождения</w:t>
      </w:r>
      <w:r>
        <w:rPr>
          <w:i/>
          <w:color w:val="242424"/>
          <w:spacing w:val="1"/>
          <w:sz w:val="30"/>
        </w:rPr>
        <w:t xml:space="preserve"> </w:t>
      </w:r>
      <w:r>
        <w:rPr>
          <w:i/>
          <w:color w:val="242424"/>
          <w:sz w:val="30"/>
        </w:rPr>
        <w:t>организации/месте</w:t>
      </w:r>
      <w:r>
        <w:rPr>
          <w:i/>
          <w:color w:val="242424"/>
          <w:spacing w:val="1"/>
          <w:sz w:val="30"/>
        </w:rPr>
        <w:t xml:space="preserve"> </w:t>
      </w:r>
      <w:r>
        <w:rPr>
          <w:i/>
          <w:color w:val="242424"/>
          <w:sz w:val="30"/>
        </w:rPr>
        <w:t>жительства</w:t>
      </w:r>
      <w:r>
        <w:rPr>
          <w:i/>
          <w:color w:val="242424"/>
          <w:spacing w:val="-2"/>
          <w:sz w:val="30"/>
        </w:rPr>
        <w:t xml:space="preserve"> </w:t>
      </w:r>
      <w:r>
        <w:rPr>
          <w:i/>
          <w:color w:val="242424"/>
          <w:sz w:val="30"/>
        </w:rPr>
        <w:t>индивидуального предпринимателя).</w:t>
      </w:r>
    </w:p>
    <w:p w:rsidR="00673C47" w:rsidRDefault="00783C5D" w:rsidP="00783C5D">
      <w:pPr>
        <w:pStyle w:val="a3"/>
        <w:ind w:right="105" w:firstLine="709"/>
        <w:jc w:val="both"/>
      </w:pPr>
      <w:r>
        <w:rPr>
          <w:color w:val="242424"/>
        </w:rPr>
        <w:t>При</w:t>
      </w:r>
      <w:r>
        <w:rPr>
          <w:color w:val="242424"/>
          <w:spacing w:val="70"/>
        </w:rPr>
        <w:t xml:space="preserve"> </w:t>
      </w:r>
      <w:r>
        <w:rPr>
          <w:color w:val="242424"/>
        </w:rPr>
        <w:t>этом</w:t>
      </w:r>
      <w:r>
        <w:rPr>
          <w:color w:val="242424"/>
          <w:spacing w:val="70"/>
        </w:rPr>
        <w:t xml:space="preserve"> </w:t>
      </w:r>
      <w:r>
        <w:rPr>
          <w:color w:val="242424"/>
        </w:rPr>
        <w:t>отмечаем,</w:t>
      </w:r>
      <w:r>
        <w:rPr>
          <w:color w:val="242424"/>
          <w:spacing w:val="70"/>
        </w:rPr>
        <w:t xml:space="preserve"> </w:t>
      </w:r>
      <w:r>
        <w:rPr>
          <w:color w:val="242424"/>
        </w:rPr>
        <w:t>что</w:t>
      </w:r>
      <w:r>
        <w:rPr>
          <w:color w:val="242424"/>
          <w:spacing w:val="70"/>
        </w:rPr>
        <w:t xml:space="preserve"> </w:t>
      </w:r>
      <w:r>
        <w:rPr>
          <w:color w:val="242424"/>
        </w:rPr>
        <w:t>субъекты</w:t>
      </w:r>
      <w:r>
        <w:rPr>
          <w:color w:val="242424"/>
          <w:spacing w:val="70"/>
        </w:rPr>
        <w:t xml:space="preserve"> </w:t>
      </w:r>
      <w:r>
        <w:rPr>
          <w:color w:val="242424"/>
        </w:rPr>
        <w:t>хозяйствования,</w:t>
      </w:r>
      <w:r>
        <w:rPr>
          <w:color w:val="242424"/>
          <w:spacing w:val="70"/>
        </w:rPr>
        <w:t xml:space="preserve"> </w:t>
      </w:r>
      <w:r>
        <w:rPr>
          <w:color w:val="242424"/>
        </w:rPr>
        <w:t>использующие</w:t>
      </w:r>
      <w:r>
        <w:rPr>
          <w:color w:val="242424"/>
          <w:spacing w:val="-73"/>
        </w:rPr>
        <w:t xml:space="preserve"> </w:t>
      </w:r>
      <w:r>
        <w:rPr>
          <w:color w:val="242424"/>
        </w:rPr>
        <w:t>торговые автоматы и (или) кассовое оборудование в торговых центрах,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рынках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объектах,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которых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уже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имеется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GLN-номер,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вправе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1"/>
        </w:rPr>
        <w:t>предоставлять</w:t>
      </w:r>
      <w:r>
        <w:rPr>
          <w:color w:val="242424"/>
          <w:spacing w:val="-19"/>
        </w:rPr>
        <w:t xml:space="preserve"> </w:t>
      </w:r>
      <w:r>
        <w:rPr>
          <w:color w:val="242424"/>
          <w:spacing w:val="-1"/>
        </w:rPr>
        <w:t>в</w:t>
      </w:r>
      <w:r>
        <w:rPr>
          <w:color w:val="242424"/>
          <w:spacing w:val="-19"/>
        </w:rPr>
        <w:t xml:space="preserve"> </w:t>
      </w:r>
      <w:r>
        <w:rPr>
          <w:color w:val="242424"/>
          <w:spacing w:val="-1"/>
        </w:rPr>
        <w:t>РУП</w:t>
      </w:r>
      <w:r>
        <w:rPr>
          <w:color w:val="242424"/>
          <w:spacing w:val="-19"/>
        </w:rPr>
        <w:t xml:space="preserve"> </w:t>
      </w:r>
      <w:r>
        <w:rPr>
          <w:color w:val="242424"/>
          <w:spacing w:val="-1"/>
        </w:rPr>
        <w:t>ИИЦ</w:t>
      </w:r>
      <w:r>
        <w:rPr>
          <w:color w:val="242424"/>
          <w:spacing w:val="-19"/>
        </w:rPr>
        <w:t xml:space="preserve"> </w:t>
      </w:r>
      <w:r>
        <w:rPr>
          <w:color w:val="242424"/>
          <w:spacing w:val="-1"/>
        </w:rPr>
        <w:t>информацию</w:t>
      </w:r>
      <w:r>
        <w:rPr>
          <w:color w:val="242424"/>
          <w:spacing w:val="-19"/>
        </w:rPr>
        <w:t xml:space="preserve"> </w:t>
      </w:r>
      <w:r>
        <w:rPr>
          <w:color w:val="242424"/>
        </w:rPr>
        <w:t>о</w:t>
      </w:r>
      <w:r>
        <w:rPr>
          <w:color w:val="242424"/>
          <w:spacing w:val="-19"/>
        </w:rPr>
        <w:t xml:space="preserve"> </w:t>
      </w:r>
      <w:r>
        <w:rPr>
          <w:color w:val="242424"/>
        </w:rPr>
        <w:t>GLN-номерах</w:t>
      </w:r>
      <w:r>
        <w:rPr>
          <w:color w:val="242424"/>
          <w:spacing w:val="-19"/>
        </w:rPr>
        <w:t xml:space="preserve"> </w:t>
      </w:r>
      <w:r>
        <w:rPr>
          <w:color w:val="242424"/>
        </w:rPr>
        <w:t>таких</w:t>
      </w:r>
      <w:r>
        <w:rPr>
          <w:color w:val="242424"/>
          <w:spacing w:val="-19"/>
        </w:rPr>
        <w:t xml:space="preserve"> </w:t>
      </w:r>
      <w:r>
        <w:rPr>
          <w:color w:val="242424"/>
        </w:rPr>
        <w:t>объектов</w:t>
      </w:r>
      <w:r>
        <w:rPr>
          <w:color w:val="242424"/>
          <w:spacing w:val="-19"/>
        </w:rPr>
        <w:t xml:space="preserve"> </w:t>
      </w:r>
      <w:r>
        <w:rPr>
          <w:color w:val="242424"/>
        </w:rPr>
        <w:t>без</w:t>
      </w:r>
      <w:r>
        <w:rPr>
          <w:color w:val="242424"/>
          <w:spacing w:val="-72"/>
        </w:rPr>
        <w:t xml:space="preserve"> </w:t>
      </w:r>
      <w:r>
        <w:rPr>
          <w:color w:val="242424"/>
        </w:rPr>
        <w:t>необходимости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их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получения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самостоятельно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Ассоциации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ГС1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Беларуси.</w:t>
      </w:r>
    </w:p>
    <w:p w:rsidR="00673C47" w:rsidRDefault="00673C47" w:rsidP="00783C5D">
      <w:pPr>
        <w:pStyle w:val="a3"/>
        <w:ind w:right="105" w:firstLine="709"/>
        <w:jc w:val="both"/>
      </w:pPr>
    </w:p>
    <w:p w:rsidR="00783C5D" w:rsidRDefault="00783C5D" w:rsidP="00783C5D">
      <w:pPr>
        <w:pStyle w:val="Heading1"/>
        <w:spacing w:before="1"/>
        <w:ind w:left="0" w:right="105" w:firstLine="709"/>
        <w:jc w:val="center"/>
        <w:rPr>
          <w:color w:val="242424"/>
          <w:lang w:val="ru-RU"/>
        </w:rPr>
      </w:pPr>
    </w:p>
    <w:p w:rsidR="00783C5D" w:rsidRDefault="00783C5D" w:rsidP="00783C5D">
      <w:pPr>
        <w:pStyle w:val="Heading1"/>
        <w:spacing w:before="1"/>
        <w:ind w:left="0" w:right="105" w:firstLine="709"/>
        <w:jc w:val="center"/>
        <w:rPr>
          <w:color w:val="242424"/>
          <w:lang w:val="ru-RU"/>
        </w:rPr>
      </w:pPr>
    </w:p>
    <w:p w:rsidR="00783C5D" w:rsidRDefault="00783C5D" w:rsidP="00783C5D">
      <w:pPr>
        <w:pStyle w:val="Heading1"/>
        <w:spacing w:before="1"/>
        <w:ind w:left="0" w:right="105" w:firstLine="709"/>
        <w:jc w:val="center"/>
        <w:rPr>
          <w:color w:val="242424"/>
          <w:lang w:val="ru-RU"/>
        </w:rPr>
      </w:pPr>
    </w:p>
    <w:sectPr w:rsidR="00783C5D" w:rsidSect="00783C5D">
      <w:pgSz w:w="11910" w:h="16840"/>
      <w:pgMar w:top="480" w:right="460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3C47"/>
    <w:rsid w:val="005765F1"/>
    <w:rsid w:val="00673C47"/>
    <w:rsid w:val="00783C5D"/>
    <w:rsid w:val="00EB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3C47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3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3C47"/>
    <w:rPr>
      <w:sz w:val="30"/>
      <w:szCs w:val="30"/>
    </w:rPr>
  </w:style>
  <w:style w:type="paragraph" w:customStyle="1" w:styleId="Heading1">
    <w:name w:val="Heading 1"/>
    <w:basedOn w:val="a"/>
    <w:uiPriority w:val="1"/>
    <w:qFormat/>
    <w:rsid w:val="00673C47"/>
    <w:pPr>
      <w:ind w:left="1667" w:hanging="1787"/>
      <w:jc w:val="both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673C47"/>
  </w:style>
  <w:style w:type="paragraph" w:customStyle="1" w:styleId="TableParagraph">
    <w:name w:val="Table Paragraph"/>
    <w:basedOn w:val="a"/>
    <w:uiPriority w:val="1"/>
    <w:qFormat/>
    <w:rsid w:val="00673C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s1by.by/" TargetMode="External"/><Relationship Id="rId4" Type="http://schemas.openxmlformats.org/officeDocument/2006/relationships/hyperlink" Target="mailto:info@gs1by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6-1 Курильчик  23 45 22</dc:title>
  <dc:creator>1-1 Савчук 23 11 37</dc:creator>
  <cp:lastModifiedBy>k</cp:lastModifiedBy>
  <cp:revision>2</cp:revision>
  <dcterms:created xsi:type="dcterms:W3CDTF">2024-06-19T08:32:00Z</dcterms:created>
  <dcterms:modified xsi:type="dcterms:W3CDTF">2024-06-19T08:32:00Z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2024-06-19T00:00:00Z</vt:filetime>
  </property>
</Properties>
</file>