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6412"/>
        <w:gridCol w:w="3663"/>
      </w:tblGrid>
      <w:tr w:rsidR="00C939A0" w:rsidTr="0055413B">
        <w:tc>
          <w:tcPr>
            <w:tcW w:w="3182" w:type="pct"/>
            <w:tcBorders>
              <w:top w:val="nil"/>
              <w:left w:val="nil"/>
              <w:bottom w:val="nil"/>
              <w:right w:val="nil"/>
            </w:tcBorders>
            <w:tcMar>
              <w:top w:w="0" w:type="dxa"/>
              <w:left w:w="6" w:type="dxa"/>
              <w:bottom w:w="0" w:type="dxa"/>
              <w:right w:w="6" w:type="dxa"/>
            </w:tcMar>
            <w:hideMark/>
          </w:tcPr>
          <w:p w:rsidR="00C939A0" w:rsidRDefault="00C939A0" w:rsidP="0055413B">
            <w:pPr>
              <w:pStyle w:val="cap1"/>
              <w:rPr>
                <w:rFonts w:eastAsiaTheme="minorEastAsia"/>
              </w:rPr>
            </w:pPr>
            <w:r>
              <w:t> </w:t>
            </w:r>
          </w:p>
        </w:tc>
        <w:tc>
          <w:tcPr>
            <w:tcW w:w="1818" w:type="pct"/>
            <w:tcBorders>
              <w:top w:val="nil"/>
              <w:left w:val="nil"/>
              <w:bottom w:val="nil"/>
              <w:right w:val="nil"/>
            </w:tcBorders>
            <w:tcMar>
              <w:top w:w="0" w:type="dxa"/>
              <w:left w:w="6" w:type="dxa"/>
              <w:bottom w:w="0" w:type="dxa"/>
              <w:right w:w="6" w:type="dxa"/>
            </w:tcMar>
            <w:hideMark/>
          </w:tcPr>
          <w:p w:rsidR="00C939A0" w:rsidRPr="00C30DBF" w:rsidRDefault="00C939A0" w:rsidP="0055413B">
            <w:pPr>
              <w:pStyle w:val="capu1"/>
              <w:rPr>
                <w:rFonts w:eastAsiaTheme="minorEastAsia"/>
                <w:i/>
              </w:rPr>
            </w:pPr>
            <w:r w:rsidRPr="00C30DBF">
              <w:rPr>
                <w:i/>
              </w:rPr>
              <w:t>УТВЕРЖДЕНО</w:t>
            </w:r>
          </w:p>
          <w:p w:rsidR="00C939A0" w:rsidRDefault="00C939A0" w:rsidP="0055413B">
            <w:pPr>
              <w:pStyle w:val="cap1"/>
              <w:rPr>
                <w:rFonts w:eastAsiaTheme="minorEastAsia"/>
              </w:rPr>
            </w:pPr>
            <w:hyperlink w:anchor="a1" w:tooltip="+" w:history="1">
              <w:r w:rsidRPr="00C30DBF">
                <w:rPr>
                  <w:rStyle w:val="a3"/>
                  <w:i/>
                </w:rPr>
                <w:t>Постановление</w:t>
              </w:r>
            </w:hyperlink>
            <w:r w:rsidRPr="00C30DBF">
              <w:rPr>
                <w:i/>
              </w:rPr>
              <w:br/>
              <w:t>Министерства антимонопольного</w:t>
            </w:r>
            <w:r w:rsidRPr="00C30DBF">
              <w:rPr>
                <w:i/>
              </w:rPr>
              <w:br/>
              <w:t>регулирования и торговли</w:t>
            </w:r>
            <w:r w:rsidRPr="00C30DBF">
              <w:rPr>
                <w:i/>
              </w:rPr>
              <w:br/>
              <w:t>Республики Беларусь</w:t>
            </w:r>
            <w:r w:rsidRPr="00C30DBF">
              <w:rPr>
                <w:i/>
              </w:rPr>
              <w:br/>
              <w:t>22.03.2022 № 23</w:t>
            </w:r>
          </w:p>
        </w:tc>
      </w:tr>
    </w:tbl>
    <w:p w:rsidR="00C939A0" w:rsidRPr="00844E8D" w:rsidRDefault="00C939A0" w:rsidP="00C939A0">
      <w:pPr>
        <w:pStyle w:val="titleu"/>
        <w:rPr>
          <w:rFonts w:eastAsiaTheme="minorEastAsia"/>
          <w:b/>
        </w:rPr>
      </w:pPr>
      <w:bookmarkStart w:id="0" w:name="a28"/>
      <w:bookmarkEnd w:id="0"/>
      <w:r w:rsidRPr="00844E8D">
        <w:rPr>
          <w:b/>
        </w:rPr>
        <w:t>РЕГЛАМЕНТ</w:t>
      </w:r>
      <w:r w:rsidRPr="00844E8D">
        <w:rPr>
          <w:b/>
        </w:rPr>
        <w:br/>
        <w:t>административной процедуры, осуществляемой в отношении субъектов хозяйствования, по </w:t>
      </w:r>
      <w:hyperlink r:id="rId5" w:anchor="a1456" w:tooltip="+" w:history="1">
        <w:r w:rsidRPr="00844E8D">
          <w:rPr>
            <w:rStyle w:val="a3"/>
            <w:b/>
          </w:rPr>
          <w:t>подпункту 8.14.1</w:t>
        </w:r>
      </w:hyperlink>
      <w:r w:rsidRPr="00844E8D">
        <w:rPr>
          <w:b/>
        </w:rPr>
        <w:t xml:space="preserve"> «Согласование наружной рекламы, рекламы на транспортном средстве»</w:t>
      </w:r>
    </w:p>
    <w:p w:rsidR="00C939A0" w:rsidRDefault="00C939A0" w:rsidP="00C939A0">
      <w:pPr>
        <w:pStyle w:val="point"/>
      </w:pPr>
      <w:r>
        <w:t>1. Особенности осуществления административной процедуры:</w:t>
      </w:r>
    </w:p>
    <w:p w:rsidR="00C939A0" w:rsidRDefault="00C939A0" w:rsidP="00C939A0">
      <w:pPr>
        <w:pStyle w:val="underpoint"/>
      </w:pPr>
      <w:r>
        <w:t xml:space="preserve">1.1. наименование уполномоченного органа (подведомственность административной процедуры) – Минский городской, городской (города областного подчинения), районный исполнительный комитет по месту размещения (распространения) наружной рекламы, по месту нахождения юридического лица или месту жительства индивидуального предпринимателя, </w:t>
      </w:r>
      <w:proofErr w:type="gramStart"/>
      <w:r>
        <w:t>являющихся</w:t>
      </w:r>
      <w:proofErr w:type="gramEnd"/>
      <w:r>
        <w:t xml:space="preserve"> владельцами данного транспортного средства;</w:t>
      </w:r>
    </w:p>
    <w:p w:rsidR="00C939A0" w:rsidRDefault="00C939A0" w:rsidP="00C939A0">
      <w:pPr>
        <w:pStyle w:val="underpoint"/>
      </w:pPr>
      <w:r>
        <w:t>1.2. наименование государственного органа, иной организации, осуществляющих прием, подготовку к рассмотрению заявлений заинтересованных лиц и (или) выдачу административных решений, принятие административных решений об отказе в принятии заявлений заинтересованных лиц – служба «одно окно»;</w:t>
      </w:r>
    </w:p>
    <w:p w:rsidR="00C939A0" w:rsidRDefault="00C939A0" w:rsidP="00C939A0">
      <w:pPr>
        <w:pStyle w:val="underpoint"/>
      </w:pPr>
      <w:r>
        <w:t>1.3. нормативные правовые акты, международные договоры Республики Беларусь, международные правовые акты, содержащие обязательства Республики Беларусь, регулирующие порядок осуществления административной процедуры:</w:t>
      </w:r>
    </w:p>
    <w:p w:rsidR="00C939A0" w:rsidRDefault="00C939A0" w:rsidP="00C939A0">
      <w:pPr>
        <w:pStyle w:val="newncpi"/>
      </w:pPr>
      <w:hyperlink r:id="rId6" w:anchor="a38" w:tooltip="+" w:history="1">
        <w:r>
          <w:rPr>
            <w:rStyle w:val="a3"/>
          </w:rPr>
          <w:t>Закон</w:t>
        </w:r>
      </w:hyperlink>
      <w:r>
        <w:t xml:space="preserve"> Республики Беларусь от 10 мая 2007 г. № 225-З «О рекламе»;</w:t>
      </w:r>
    </w:p>
    <w:p w:rsidR="00C939A0" w:rsidRDefault="00C939A0" w:rsidP="00C939A0">
      <w:pPr>
        <w:pStyle w:val="newncpi"/>
      </w:pPr>
      <w:hyperlink r:id="rId7" w:anchor="a68" w:tooltip="+" w:history="1">
        <w:r>
          <w:rPr>
            <w:rStyle w:val="a3"/>
          </w:rPr>
          <w:t>Закон</w:t>
        </w:r>
      </w:hyperlink>
      <w:r>
        <w:t xml:space="preserve"> Республики Беларусь «Об основах административных процедур»;</w:t>
      </w:r>
    </w:p>
    <w:p w:rsidR="00C939A0" w:rsidRDefault="00C939A0" w:rsidP="00C939A0">
      <w:pPr>
        <w:pStyle w:val="newncpi"/>
      </w:pPr>
      <w:hyperlink r:id="rId8" w:anchor="a39" w:tooltip="+" w:history="1">
        <w:r>
          <w:rPr>
            <w:rStyle w:val="a3"/>
          </w:rPr>
          <w:t>Декрет</w:t>
        </w:r>
      </w:hyperlink>
      <w:r>
        <w:t xml:space="preserve"> Президента Республики Беларусь от 23 ноября 2017 г. № 7 «О развитии предпринимательства»;</w:t>
      </w:r>
    </w:p>
    <w:p w:rsidR="00C939A0" w:rsidRDefault="00C939A0" w:rsidP="00C939A0">
      <w:pPr>
        <w:pStyle w:val="newncpi"/>
      </w:pPr>
      <w:hyperlink r:id="rId9" w:anchor="a3" w:tooltip="+" w:history="1">
        <w:r>
          <w:rPr>
            <w:rStyle w:val="a3"/>
          </w:rPr>
          <w:t>постановление</w:t>
        </w:r>
      </w:hyperlink>
      <w:r>
        <w:t xml:space="preserve"> Совета Министров Республики Беларусь от 17 октября 2018 г. № 740 «Об  административных процедурах, прием заявлений и выдача решений по которым осуществляются через службу «одно окно»;</w:t>
      </w:r>
    </w:p>
    <w:p w:rsidR="00C939A0" w:rsidRDefault="00C939A0" w:rsidP="00C939A0">
      <w:pPr>
        <w:pStyle w:val="newncpi"/>
      </w:pPr>
      <w:hyperlink r:id="rId10" w:anchor="a5" w:tooltip="+" w:history="1">
        <w:r>
          <w:rPr>
            <w:rStyle w:val="a3"/>
          </w:rPr>
          <w:t>постановление</w:t>
        </w:r>
      </w:hyperlink>
      <w:r>
        <w:t xml:space="preserve"> Совета Министров Республики Беларусь от 24 сентября 2021 г. № 548 «Об административных процедурах, осуществляемых в отношении субъектов хозяйствования»;</w:t>
      </w:r>
    </w:p>
    <w:p w:rsidR="00C939A0" w:rsidRDefault="00C939A0" w:rsidP="00C939A0">
      <w:pPr>
        <w:pStyle w:val="newncpi"/>
      </w:pPr>
      <w:hyperlink r:id="rId11" w:anchor="a3" w:tooltip="+" w:history="1">
        <w:r>
          <w:rPr>
            <w:rStyle w:val="a3"/>
          </w:rPr>
          <w:t>постановление</w:t>
        </w:r>
      </w:hyperlink>
      <w:r>
        <w:t xml:space="preserve"> Совета Министров Республики Беларусь от 6 октября 2021 г. № 561 «О порядке согласования наружной рекламы и рекламы на транспортном средстве»;</w:t>
      </w:r>
    </w:p>
    <w:p w:rsidR="00C939A0" w:rsidRDefault="00C939A0" w:rsidP="00C939A0">
      <w:pPr>
        <w:pStyle w:val="underpoint"/>
      </w:pPr>
      <w:r>
        <w:t>1.4. иные имеющиеся особенности осуществления административной процедуры:</w:t>
      </w:r>
    </w:p>
    <w:p w:rsidR="00C939A0" w:rsidRDefault="00C939A0" w:rsidP="00C939A0">
      <w:pPr>
        <w:pStyle w:val="underpoint"/>
      </w:pPr>
      <w:r>
        <w:t>1.4.1. согласованию подлежит:</w:t>
      </w:r>
    </w:p>
    <w:p w:rsidR="00C939A0" w:rsidRDefault="00C939A0" w:rsidP="00C939A0">
      <w:pPr>
        <w:pStyle w:val="newncpi"/>
      </w:pPr>
      <w:bookmarkStart w:id="1" w:name="a12"/>
      <w:bookmarkEnd w:id="1"/>
      <w:proofErr w:type="gramStart"/>
      <w:r>
        <w:t>наружная реклама, за исключением социальной рекламы, рекламы, подлежащей согласованию с Министерством здравоохранения в соответствии с </w:t>
      </w:r>
      <w:hyperlink r:id="rId12" w:anchor="a369" w:tooltip="+" w:history="1">
        <w:r>
          <w:rPr>
            <w:rStyle w:val="a3"/>
          </w:rPr>
          <w:t>пунктом 1</w:t>
        </w:r>
      </w:hyperlink>
      <w:r>
        <w:t xml:space="preserve"> статьи 15, </w:t>
      </w:r>
      <w:hyperlink r:id="rId13" w:anchor="a370" w:tooltip="+" w:history="1">
        <w:r>
          <w:rPr>
            <w:rStyle w:val="a3"/>
          </w:rPr>
          <w:t>пунктом 1</w:t>
        </w:r>
      </w:hyperlink>
      <w:r>
        <w:t xml:space="preserve"> статьи 15</w:t>
      </w:r>
      <w:r>
        <w:rPr>
          <w:vertAlign w:val="superscript"/>
        </w:rPr>
        <w:t>1</w:t>
      </w:r>
      <w:r>
        <w:t xml:space="preserve"> Закона Республики Беларусь «О рекламе», а также наружной рекламы, размещаемой </w:t>
      </w:r>
      <w:r>
        <w:lastRenderedPageBreak/>
        <w:t>(распространяемой) на средствах наружной рекламы, включенных в </w:t>
      </w:r>
      <w:hyperlink r:id="rId14" w:anchor="a4" w:tooltip="+" w:history="1">
        <w:r>
          <w:rPr>
            <w:rStyle w:val="a3"/>
          </w:rPr>
          <w:t>приложение 2</w:t>
        </w:r>
      </w:hyperlink>
      <w:r>
        <w:t xml:space="preserve"> к постановлению Совета Министров Республики Беларусь от 7 июля 2021 г. № 395 «О мерах по реализации Закона Республики</w:t>
      </w:r>
      <w:proofErr w:type="gramEnd"/>
      <w:r>
        <w:t xml:space="preserve"> Беларусь «Об изменении </w:t>
      </w:r>
      <w:proofErr w:type="gramStart"/>
      <w:r>
        <w:t>законов по вопросам</w:t>
      </w:r>
      <w:proofErr w:type="gramEnd"/>
      <w:r>
        <w:t xml:space="preserve"> рекламы»;</w:t>
      </w:r>
    </w:p>
    <w:p w:rsidR="00C939A0" w:rsidRDefault="00C939A0" w:rsidP="00C939A0">
      <w:pPr>
        <w:pStyle w:val="newncpi"/>
      </w:pPr>
      <w:bookmarkStart w:id="2" w:name="a13"/>
      <w:bookmarkEnd w:id="2"/>
      <w:r>
        <w:t>реклама на транспортном средстве, за исключением социальной рекламы, рекламы, подлежащей согласованию с Министерством здравоохранения в соответствии с </w:t>
      </w:r>
      <w:hyperlink r:id="rId15" w:anchor="a369" w:tooltip="+" w:history="1">
        <w:r>
          <w:rPr>
            <w:rStyle w:val="a3"/>
          </w:rPr>
          <w:t>пунктом 1</w:t>
        </w:r>
      </w:hyperlink>
      <w:r>
        <w:t xml:space="preserve"> статьи 15, </w:t>
      </w:r>
      <w:hyperlink r:id="rId16" w:anchor="a370" w:tooltip="+" w:history="1">
        <w:r>
          <w:rPr>
            <w:rStyle w:val="a3"/>
          </w:rPr>
          <w:t>пунктом 1</w:t>
        </w:r>
      </w:hyperlink>
      <w:r>
        <w:t xml:space="preserve"> статьи 15</w:t>
      </w:r>
      <w:r>
        <w:rPr>
          <w:vertAlign w:val="superscript"/>
        </w:rPr>
        <w:t>1</w:t>
      </w:r>
      <w:r>
        <w:t xml:space="preserve"> Закона Республики Беларусь «О рекламе», а также рекламы на транспортном средстве, содержащей исключительно информацию:</w:t>
      </w:r>
    </w:p>
    <w:p w:rsidR="00C939A0" w:rsidRDefault="00C939A0" w:rsidP="00C939A0">
      <w:pPr>
        <w:pStyle w:val="newncpi"/>
      </w:pPr>
      <w:r>
        <w:t>о субъектах хозяйствования, осуществляющих на данном транспортном средстве перевозку пассажиров и (или) грузов;</w:t>
      </w:r>
    </w:p>
    <w:p w:rsidR="00C939A0" w:rsidRDefault="00C939A0" w:rsidP="00C939A0">
      <w:pPr>
        <w:pStyle w:val="newncpi"/>
      </w:pPr>
      <w:r>
        <w:t>о владельце данного транспортного средства;</w:t>
      </w:r>
    </w:p>
    <w:p w:rsidR="00C939A0" w:rsidRDefault="00C939A0" w:rsidP="00C939A0">
      <w:pPr>
        <w:pStyle w:val="newncpi"/>
      </w:pPr>
      <w:r>
        <w:t>о товарных знаках и (или) знаках обслуживания, используемых для обозначения товаров, работ и (или) услуг указанных лиц;</w:t>
      </w:r>
    </w:p>
    <w:p w:rsidR="00C939A0" w:rsidRDefault="00C939A0" w:rsidP="00C939A0">
      <w:pPr>
        <w:pStyle w:val="newncpi"/>
      </w:pPr>
      <w:r>
        <w:t>о продаже данного транспортного средства;</w:t>
      </w:r>
    </w:p>
    <w:p w:rsidR="00C939A0" w:rsidRDefault="00C939A0" w:rsidP="00C939A0">
      <w:pPr>
        <w:pStyle w:val="newncpi"/>
      </w:pPr>
      <w:r>
        <w:t>о номере телефона диспетчера такси;</w:t>
      </w:r>
    </w:p>
    <w:p w:rsidR="00C939A0" w:rsidRDefault="00C939A0" w:rsidP="00C939A0">
      <w:pPr>
        <w:pStyle w:val="underpoint"/>
      </w:pPr>
      <w:r>
        <w:t>1.4.2. административная процедура осуществляется в отношении:</w:t>
      </w:r>
    </w:p>
    <w:p w:rsidR="00C939A0" w:rsidRDefault="00C939A0" w:rsidP="00C939A0">
      <w:pPr>
        <w:pStyle w:val="newncpi"/>
      </w:pPr>
      <w:r>
        <w:t>рекламодателей наружной рекламы, указанной в </w:t>
      </w:r>
      <w:hyperlink w:anchor="a12" w:tooltip="+" w:history="1">
        <w:r>
          <w:rPr>
            <w:rStyle w:val="a3"/>
          </w:rPr>
          <w:t>абзаце втором</w:t>
        </w:r>
      </w:hyperlink>
      <w:r>
        <w:t xml:space="preserve"> подпункта 1.4.1 настоящего пункта, и (или) их представителей;</w:t>
      </w:r>
    </w:p>
    <w:p w:rsidR="00C939A0" w:rsidRDefault="00C939A0" w:rsidP="00C939A0">
      <w:pPr>
        <w:pStyle w:val="newncpi"/>
      </w:pPr>
      <w:r>
        <w:t xml:space="preserve">рекламодателей рекламы на транспортном средстве, указанной в абзацах </w:t>
      </w:r>
      <w:hyperlink w:anchor="a13" w:tooltip="+" w:history="1">
        <w:r>
          <w:rPr>
            <w:rStyle w:val="a3"/>
          </w:rPr>
          <w:t>третьем–восьмом</w:t>
        </w:r>
      </w:hyperlink>
      <w:r>
        <w:t xml:space="preserve"> подпункта 1.4.1 настоящего пункта, и (или) их представителей;</w:t>
      </w:r>
    </w:p>
    <w:p w:rsidR="00C939A0" w:rsidRDefault="00C939A0" w:rsidP="00C939A0">
      <w:pPr>
        <w:pStyle w:val="underpoint"/>
      </w:pPr>
      <w:r>
        <w:t>1.4.3. дополнительные основания для отказа в осуществлении административной процедуры по сравнению с </w:t>
      </w:r>
      <w:hyperlink r:id="rId17" w:anchor="a68" w:tooltip="+" w:history="1">
        <w:r>
          <w:rPr>
            <w:rStyle w:val="a3"/>
          </w:rPr>
          <w:t>Законом</w:t>
        </w:r>
      </w:hyperlink>
      <w:r>
        <w:t xml:space="preserve"> Республики Беларусь «Об основах административных процедур» определены в </w:t>
      </w:r>
      <w:hyperlink r:id="rId18" w:anchor="a30" w:tooltip="+" w:history="1">
        <w:r>
          <w:rPr>
            <w:rStyle w:val="a3"/>
          </w:rPr>
          <w:t>пункте 9</w:t>
        </w:r>
      </w:hyperlink>
      <w:r>
        <w:t xml:space="preserve"> Положения о порядке согласования наружной рекламы и рекламы на транспортном средстве, утвержденного постановлением Совета Министров Республики Беларусь от 6 октября 2021 г. № 561;</w:t>
      </w:r>
    </w:p>
    <w:p w:rsidR="00C939A0" w:rsidRDefault="00C939A0" w:rsidP="00C939A0">
      <w:pPr>
        <w:pStyle w:val="underpoint"/>
      </w:pPr>
      <w:r>
        <w:t>1.4.4. обжалование административного решения Минского городского исполнительного комитета осуществляется в судебном порядке.</w:t>
      </w:r>
    </w:p>
    <w:p w:rsidR="00C939A0" w:rsidRDefault="00C939A0" w:rsidP="00C939A0">
      <w:pPr>
        <w:pStyle w:val="point"/>
      </w:pPr>
      <w:r>
        <w:t>2. Документы и (или) сведения, необходимые для осуществления административной процедуры:</w:t>
      </w:r>
    </w:p>
    <w:p w:rsidR="00C939A0" w:rsidRDefault="00C939A0" w:rsidP="00844E8D">
      <w:pPr>
        <w:pStyle w:val="underpoint"/>
      </w:pPr>
      <w:r>
        <w:t>2.1. </w:t>
      </w:r>
      <w:proofErr w:type="gramStart"/>
      <w:r>
        <w:t>представляемые</w:t>
      </w:r>
      <w:proofErr w:type="gramEnd"/>
      <w:r>
        <w:t xml:space="preserve"> заинтересованным лицом:</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3938"/>
        <w:gridCol w:w="3288"/>
        <w:gridCol w:w="2849"/>
      </w:tblGrid>
      <w:tr w:rsidR="00C939A0" w:rsidTr="0055413B">
        <w:trPr>
          <w:trHeight w:val="240"/>
        </w:trPr>
        <w:tc>
          <w:tcPr>
            <w:tcW w:w="1954" w:type="pct"/>
            <w:tcBorders>
              <w:top w:val="nil"/>
              <w:left w:val="nil"/>
              <w:bottom w:val="single" w:sz="4" w:space="0" w:color="auto"/>
              <w:right w:val="single" w:sz="4" w:space="0" w:color="auto"/>
            </w:tcBorders>
            <w:tcMar>
              <w:top w:w="0" w:type="dxa"/>
              <w:left w:w="6" w:type="dxa"/>
              <w:bottom w:w="0" w:type="dxa"/>
              <w:right w:w="6" w:type="dxa"/>
            </w:tcMar>
            <w:vAlign w:val="center"/>
            <w:hideMark/>
          </w:tcPr>
          <w:p w:rsidR="00C939A0" w:rsidRDefault="00C939A0" w:rsidP="0055413B">
            <w:pPr>
              <w:pStyle w:val="table10"/>
              <w:jc w:val="center"/>
              <w:rPr>
                <w:rFonts w:eastAsiaTheme="minorEastAsia"/>
              </w:rPr>
            </w:pPr>
            <w:r>
              <w:t>Наименование документа и (или) сведений</w:t>
            </w:r>
          </w:p>
        </w:tc>
        <w:tc>
          <w:tcPr>
            <w:tcW w:w="1632" w:type="pct"/>
            <w:tcBorders>
              <w:top w:val="nil"/>
              <w:left w:val="single" w:sz="4" w:space="0" w:color="auto"/>
              <w:bottom w:val="single" w:sz="4" w:space="0" w:color="auto"/>
              <w:right w:val="single" w:sz="4" w:space="0" w:color="auto"/>
            </w:tcBorders>
            <w:tcMar>
              <w:top w:w="0" w:type="dxa"/>
              <w:left w:w="6" w:type="dxa"/>
              <w:bottom w:w="0" w:type="dxa"/>
              <w:right w:w="6" w:type="dxa"/>
            </w:tcMar>
            <w:vAlign w:val="center"/>
            <w:hideMark/>
          </w:tcPr>
          <w:p w:rsidR="00C939A0" w:rsidRDefault="00C939A0" w:rsidP="0055413B">
            <w:pPr>
              <w:pStyle w:val="table10"/>
              <w:jc w:val="center"/>
              <w:rPr>
                <w:rFonts w:eastAsiaTheme="minorEastAsia"/>
              </w:rPr>
            </w:pPr>
            <w:r>
              <w:t>Требования, предъявляемые к документу и (или) сведениям</w:t>
            </w:r>
          </w:p>
        </w:tc>
        <w:tc>
          <w:tcPr>
            <w:tcW w:w="1414" w:type="pct"/>
            <w:tcBorders>
              <w:top w:val="nil"/>
              <w:left w:val="single" w:sz="4" w:space="0" w:color="auto"/>
              <w:bottom w:val="single" w:sz="4" w:space="0" w:color="auto"/>
              <w:right w:val="nil"/>
            </w:tcBorders>
            <w:tcMar>
              <w:top w:w="0" w:type="dxa"/>
              <w:left w:w="6" w:type="dxa"/>
              <w:bottom w:w="0" w:type="dxa"/>
              <w:right w:w="6" w:type="dxa"/>
            </w:tcMar>
            <w:vAlign w:val="center"/>
            <w:hideMark/>
          </w:tcPr>
          <w:p w:rsidR="00C939A0" w:rsidRDefault="00C939A0" w:rsidP="0055413B">
            <w:pPr>
              <w:pStyle w:val="table10"/>
              <w:jc w:val="center"/>
              <w:rPr>
                <w:rFonts w:eastAsiaTheme="minorEastAsia"/>
              </w:rPr>
            </w:pPr>
            <w:r>
              <w:t>Форма и порядок представления документа и (или) сведений</w:t>
            </w:r>
          </w:p>
        </w:tc>
      </w:tr>
      <w:tr w:rsidR="00C939A0" w:rsidTr="0055413B">
        <w:trPr>
          <w:trHeight w:val="240"/>
        </w:trPr>
        <w:tc>
          <w:tcPr>
            <w:tcW w:w="1954"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r>
              <w:t>заявление о согласовании наружной рекламы, рекламы на транспортном средстве</w:t>
            </w:r>
          </w:p>
        </w:tc>
        <w:tc>
          <w:tcPr>
            <w:tcW w:w="163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r>
              <w:t xml:space="preserve">по форме согласно </w:t>
            </w:r>
            <w:hyperlink w:anchor="a32" w:tooltip="+" w:history="1">
              <w:r>
                <w:rPr>
                  <w:rStyle w:val="a3"/>
                </w:rPr>
                <w:t>приложению</w:t>
              </w:r>
            </w:hyperlink>
          </w:p>
        </w:tc>
        <w:tc>
          <w:tcPr>
            <w:tcW w:w="1414" w:type="pct"/>
            <w:vMerge w:val="restart"/>
            <w:tcBorders>
              <w:top w:val="single" w:sz="4" w:space="0" w:color="auto"/>
              <w:left w:val="single" w:sz="4" w:space="0" w:color="auto"/>
              <w:bottom w:val="single" w:sz="4" w:space="0" w:color="auto"/>
              <w:right w:val="nil"/>
            </w:tcBorders>
            <w:tcMar>
              <w:top w:w="0" w:type="dxa"/>
              <w:left w:w="6" w:type="dxa"/>
              <w:bottom w:w="0" w:type="dxa"/>
              <w:right w:w="6" w:type="dxa"/>
            </w:tcMar>
            <w:hideMark/>
          </w:tcPr>
          <w:p w:rsidR="00C939A0" w:rsidRDefault="00C939A0" w:rsidP="0055413B">
            <w:pPr>
              <w:pStyle w:val="table10"/>
              <w:rPr>
                <w:rFonts w:eastAsiaTheme="minorEastAsia"/>
              </w:rPr>
            </w:pPr>
            <w:r>
              <w:t>в письменной форме:</w:t>
            </w:r>
            <w:r>
              <w:br/>
            </w:r>
            <w:r>
              <w:br/>
              <w:t>нарочным (курьером);</w:t>
            </w:r>
            <w:r>
              <w:br/>
            </w:r>
            <w:r>
              <w:br/>
              <w:t>посредством почтовой связи</w:t>
            </w:r>
          </w:p>
        </w:tc>
      </w:tr>
      <w:tr w:rsidR="00C939A0" w:rsidTr="0055413B">
        <w:trPr>
          <w:trHeight w:val="240"/>
        </w:trPr>
        <w:tc>
          <w:tcPr>
            <w:tcW w:w="1954"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r>
              <w:t xml:space="preserve">макет наружной рекламы, рекламы на транспортном средстве, за исключением случая согласования наружной мультимедийной рекламы </w:t>
            </w:r>
          </w:p>
        </w:tc>
        <w:tc>
          <w:tcPr>
            <w:tcW w:w="163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r>
              <w:t>выполняется на бумажном носителе в цвете в формате А</w:t>
            </w:r>
            <w:proofErr w:type="gramStart"/>
            <w:r>
              <w:t>4</w:t>
            </w:r>
            <w:proofErr w:type="gramEnd"/>
            <w:r>
              <w:t xml:space="preserve"> в двух экземплярах или электронном носителе</w:t>
            </w:r>
          </w:p>
        </w:tc>
        <w:tc>
          <w:tcPr>
            <w:tcW w:w="0" w:type="auto"/>
            <w:vMerge/>
            <w:tcBorders>
              <w:top w:val="single" w:sz="4" w:space="0" w:color="auto"/>
              <w:left w:val="single" w:sz="4" w:space="0" w:color="auto"/>
              <w:bottom w:val="single" w:sz="4" w:space="0" w:color="auto"/>
              <w:right w:val="nil"/>
            </w:tcBorders>
            <w:vAlign w:val="center"/>
            <w:hideMark/>
          </w:tcPr>
          <w:p w:rsidR="00C939A0" w:rsidRDefault="00C939A0" w:rsidP="0055413B">
            <w:pPr>
              <w:rPr>
                <w:rFonts w:eastAsiaTheme="minorEastAsia"/>
              </w:rPr>
            </w:pPr>
          </w:p>
        </w:tc>
      </w:tr>
      <w:tr w:rsidR="00C939A0" w:rsidTr="0055413B">
        <w:trPr>
          <w:trHeight w:val="240"/>
        </w:trPr>
        <w:tc>
          <w:tcPr>
            <w:tcW w:w="1954"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r>
              <w:t xml:space="preserve">ролик наружной мультимедийной </w:t>
            </w:r>
            <w:r>
              <w:lastRenderedPageBreak/>
              <w:t>рекламы – для согласования наружной мультимедийной рекламы</w:t>
            </w:r>
          </w:p>
        </w:tc>
        <w:tc>
          <w:tcPr>
            <w:tcW w:w="163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r>
              <w:lastRenderedPageBreak/>
              <w:t xml:space="preserve">выполняется на электронном </w:t>
            </w:r>
            <w:r>
              <w:lastRenderedPageBreak/>
              <w:t>носителе</w:t>
            </w:r>
          </w:p>
        </w:tc>
        <w:tc>
          <w:tcPr>
            <w:tcW w:w="0" w:type="auto"/>
            <w:vMerge/>
            <w:tcBorders>
              <w:top w:val="single" w:sz="4" w:space="0" w:color="auto"/>
              <w:left w:val="single" w:sz="4" w:space="0" w:color="auto"/>
              <w:bottom w:val="single" w:sz="4" w:space="0" w:color="auto"/>
              <w:right w:val="nil"/>
            </w:tcBorders>
            <w:vAlign w:val="center"/>
            <w:hideMark/>
          </w:tcPr>
          <w:p w:rsidR="00C939A0" w:rsidRDefault="00C939A0" w:rsidP="0055413B">
            <w:pPr>
              <w:rPr>
                <w:rFonts w:eastAsiaTheme="minorEastAsia"/>
              </w:rPr>
            </w:pPr>
          </w:p>
        </w:tc>
      </w:tr>
      <w:tr w:rsidR="00C939A0" w:rsidTr="0055413B">
        <w:trPr>
          <w:trHeight w:val="240"/>
        </w:trPr>
        <w:tc>
          <w:tcPr>
            <w:tcW w:w="1954"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r>
              <w:lastRenderedPageBreak/>
              <w:t>фотография транспортного средства с обозначением места размещения рекламы – для согласования рекламы на транспортном средстве</w:t>
            </w:r>
          </w:p>
        </w:tc>
        <w:tc>
          <w:tcPr>
            <w:tcW w:w="163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r>
              <w:t>выполняется в цвете;</w:t>
            </w:r>
            <w:r>
              <w:br/>
            </w:r>
            <w:r>
              <w:br/>
              <w:t>размер фотографии – 9 x 13 сантиметров</w:t>
            </w:r>
          </w:p>
        </w:tc>
        <w:tc>
          <w:tcPr>
            <w:tcW w:w="0" w:type="auto"/>
            <w:vMerge/>
            <w:tcBorders>
              <w:top w:val="single" w:sz="4" w:space="0" w:color="auto"/>
              <w:left w:val="single" w:sz="4" w:space="0" w:color="auto"/>
              <w:bottom w:val="single" w:sz="4" w:space="0" w:color="auto"/>
              <w:right w:val="nil"/>
            </w:tcBorders>
            <w:vAlign w:val="center"/>
            <w:hideMark/>
          </w:tcPr>
          <w:p w:rsidR="00C939A0" w:rsidRDefault="00C939A0" w:rsidP="0055413B">
            <w:pPr>
              <w:rPr>
                <w:rFonts w:eastAsiaTheme="minorEastAsia"/>
              </w:rPr>
            </w:pPr>
          </w:p>
        </w:tc>
      </w:tr>
      <w:tr w:rsidR="00C939A0" w:rsidTr="0055413B">
        <w:trPr>
          <w:trHeight w:val="240"/>
        </w:trPr>
        <w:tc>
          <w:tcPr>
            <w:tcW w:w="1954"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r>
              <w:t>копия аттестата, квалификационного аттестата, свидетельства или иного документа, удостоверяющего право организации или гражданина на осуществление рекламируемой деятельности, – для согласования наружной рекламы, рекламы на транспортном средстве, содержащей информацию о деятельности, осуществляемой на основании такого аттестата, квалификационного аттестата, свидетельства или иного документа, удостоверяющего право организации или гражданина на осуществление такой деятельности</w:t>
            </w:r>
          </w:p>
        </w:tc>
        <w:tc>
          <w:tcPr>
            <w:tcW w:w="1632"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r>
              <w:t> </w:t>
            </w:r>
          </w:p>
        </w:tc>
        <w:tc>
          <w:tcPr>
            <w:tcW w:w="0" w:type="auto"/>
            <w:vMerge/>
            <w:tcBorders>
              <w:top w:val="single" w:sz="4" w:space="0" w:color="auto"/>
              <w:left w:val="single" w:sz="4" w:space="0" w:color="auto"/>
              <w:bottom w:val="single" w:sz="4" w:space="0" w:color="auto"/>
              <w:right w:val="nil"/>
            </w:tcBorders>
            <w:vAlign w:val="center"/>
            <w:hideMark/>
          </w:tcPr>
          <w:p w:rsidR="00C939A0" w:rsidRDefault="00C939A0" w:rsidP="0055413B">
            <w:pPr>
              <w:rPr>
                <w:rFonts w:eastAsiaTheme="minorEastAsia"/>
              </w:rPr>
            </w:pPr>
          </w:p>
        </w:tc>
      </w:tr>
      <w:tr w:rsidR="00C939A0" w:rsidTr="0055413B">
        <w:trPr>
          <w:trHeight w:val="240"/>
        </w:trPr>
        <w:tc>
          <w:tcPr>
            <w:tcW w:w="1954"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r>
              <w:t>копия документа об оценке соответствия или иного документа, подтверждающего обязательную оценку соответствия рекламируемых товаров (работ, услуг), подлежащих обязательному подтверждению соответствия, обязательной оценке соответствия в иных формах, если наличие такого документа предусмотрено актами законодательства, международными договорами Республики Беларусь, международно-правовыми актами, составляющими право Евразийского экономического союза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939A0" w:rsidRDefault="00C939A0" w:rsidP="0055413B">
            <w:pPr>
              <w:rPr>
                <w:rFonts w:eastAsiaTheme="minorEastAsia"/>
              </w:rPr>
            </w:pPr>
          </w:p>
        </w:tc>
        <w:tc>
          <w:tcPr>
            <w:tcW w:w="0" w:type="auto"/>
            <w:vMerge/>
            <w:tcBorders>
              <w:top w:val="single" w:sz="4" w:space="0" w:color="auto"/>
              <w:left w:val="single" w:sz="4" w:space="0" w:color="auto"/>
              <w:bottom w:val="single" w:sz="4" w:space="0" w:color="auto"/>
              <w:right w:val="nil"/>
            </w:tcBorders>
            <w:vAlign w:val="center"/>
            <w:hideMark/>
          </w:tcPr>
          <w:p w:rsidR="00C939A0" w:rsidRDefault="00C939A0" w:rsidP="0055413B">
            <w:pPr>
              <w:rPr>
                <w:rFonts w:eastAsiaTheme="minorEastAsia"/>
              </w:rPr>
            </w:pPr>
          </w:p>
        </w:tc>
      </w:tr>
      <w:tr w:rsidR="00C939A0" w:rsidTr="0055413B">
        <w:trPr>
          <w:trHeight w:val="240"/>
        </w:trPr>
        <w:tc>
          <w:tcPr>
            <w:tcW w:w="1954"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proofErr w:type="gramStart"/>
            <w:r>
              <w:t xml:space="preserve">копия результатов исследований или иной документ, подтверждающие преимущество рекламируемых товаров (продукции, работ, услуг), организации или гражданина, производственного объекта, торгового объекта или иного объекта обслуживания перед другими товарами (продукцией, работами, услугами), организациями или гражданами, производственными объектами, торговыми объектами или иными объектами обслуживания, – для согласования наружной рекламы, рекламы на транспортном средстве, содержащей слова в превосходной </w:t>
            </w:r>
            <w:r>
              <w:lastRenderedPageBreak/>
              <w:t>степени или иные слова, создающие впечатление о</w:t>
            </w:r>
            <w:proofErr w:type="gramEnd"/>
            <w:r>
              <w:t> </w:t>
            </w:r>
            <w:proofErr w:type="gramStart"/>
            <w:r>
              <w:t>таком</w:t>
            </w:r>
            <w:proofErr w:type="gramEnd"/>
            <w:r>
              <w:t xml:space="preserve"> преимуществе</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939A0" w:rsidRDefault="00C939A0" w:rsidP="0055413B">
            <w:pPr>
              <w:rPr>
                <w:rFonts w:eastAsiaTheme="minorEastAsia"/>
              </w:rPr>
            </w:pPr>
          </w:p>
        </w:tc>
        <w:tc>
          <w:tcPr>
            <w:tcW w:w="0" w:type="auto"/>
            <w:vMerge/>
            <w:tcBorders>
              <w:top w:val="single" w:sz="4" w:space="0" w:color="auto"/>
              <w:left w:val="single" w:sz="4" w:space="0" w:color="auto"/>
              <w:bottom w:val="single" w:sz="4" w:space="0" w:color="auto"/>
              <w:right w:val="nil"/>
            </w:tcBorders>
            <w:vAlign w:val="center"/>
            <w:hideMark/>
          </w:tcPr>
          <w:p w:rsidR="00C939A0" w:rsidRDefault="00C939A0" w:rsidP="0055413B">
            <w:pPr>
              <w:rPr>
                <w:rFonts w:eastAsiaTheme="minorEastAsia"/>
              </w:rPr>
            </w:pPr>
          </w:p>
        </w:tc>
      </w:tr>
      <w:tr w:rsidR="00C939A0" w:rsidTr="0055413B">
        <w:trPr>
          <w:trHeight w:val="240"/>
        </w:trPr>
        <w:tc>
          <w:tcPr>
            <w:tcW w:w="1954"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proofErr w:type="gramStart"/>
            <w:r>
              <w:lastRenderedPageBreak/>
              <w:t>копия письма или иного документа о согласии гражданина Республики Беларусь или его законного представителя на использование в рекламе фамилии, собственного имени, отчества (если таковое имеется) (далее – имя), псевдонима, образа или высказывания гражданина Республики Беларусь, за исключением случая, когда законодательством допускается использование в рекламе имени, псевдонима, образа или высказывания гражданина Республики Беларусь без его согласия или согласия его законного представителя, – для</w:t>
            </w:r>
            <w:proofErr w:type="gramEnd"/>
            <w:r>
              <w:t> согласования наружной рекламы, рекламы на транспортном средстве, содержащей имя, псевдоним, образ или высказывание гражданина Республики Беларусь, не являющегося рекламодателем</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939A0" w:rsidRDefault="00C939A0" w:rsidP="0055413B">
            <w:pPr>
              <w:rPr>
                <w:rFonts w:eastAsiaTheme="minorEastAsia"/>
              </w:rPr>
            </w:pPr>
          </w:p>
        </w:tc>
        <w:tc>
          <w:tcPr>
            <w:tcW w:w="0" w:type="auto"/>
            <w:vMerge/>
            <w:tcBorders>
              <w:top w:val="single" w:sz="4" w:space="0" w:color="auto"/>
              <w:left w:val="single" w:sz="4" w:space="0" w:color="auto"/>
              <w:bottom w:val="single" w:sz="4" w:space="0" w:color="auto"/>
              <w:right w:val="nil"/>
            </w:tcBorders>
            <w:vAlign w:val="center"/>
            <w:hideMark/>
          </w:tcPr>
          <w:p w:rsidR="00C939A0" w:rsidRDefault="00C939A0" w:rsidP="0055413B">
            <w:pPr>
              <w:rPr>
                <w:rFonts w:eastAsiaTheme="minorEastAsia"/>
              </w:rPr>
            </w:pPr>
          </w:p>
        </w:tc>
      </w:tr>
      <w:tr w:rsidR="00C939A0" w:rsidTr="0055413B">
        <w:trPr>
          <w:trHeight w:val="240"/>
        </w:trPr>
        <w:tc>
          <w:tcPr>
            <w:tcW w:w="1954" w:type="pct"/>
            <w:tcBorders>
              <w:top w:val="single" w:sz="4" w:space="0" w:color="auto"/>
              <w:left w:val="nil"/>
              <w:bottom w:val="nil"/>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proofErr w:type="gramStart"/>
            <w:r>
              <w:t>копия документа, подтверждающего право на использование в рекламе наименования организации, товарного знака и (или) знака обслуживания, эмблемы и иной символики, изображения имущества организации или гражданина, – для согласования наружной рекламы, рекламы на транспортном средстве, содержащей наименование организации, товарный знак и (или) знак обслуживания, эмблему и иную символику, изображение имущества организации или гражданина, не являющихся рекламодателями</w:t>
            </w:r>
            <w:proofErr w:type="gramEnd"/>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939A0" w:rsidRDefault="00C939A0" w:rsidP="0055413B">
            <w:pPr>
              <w:rPr>
                <w:rFonts w:eastAsiaTheme="minorEastAsia"/>
              </w:rPr>
            </w:pPr>
          </w:p>
        </w:tc>
        <w:tc>
          <w:tcPr>
            <w:tcW w:w="0" w:type="auto"/>
            <w:vMerge/>
            <w:tcBorders>
              <w:top w:val="single" w:sz="4" w:space="0" w:color="auto"/>
              <w:left w:val="single" w:sz="4" w:space="0" w:color="auto"/>
              <w:bottom w:val="single" w:sz="4" w:space="0" w:color="auto"/>
              <w:right w:val="nil"/>
            </w:tcBorders>
            <w:vAlign w:val="center"/>
            <w:hideMark/>
          </w:tcPr>
          <w:p w:rsidR="00C939A0" w:rsidRDefault="00C939A0" w:rsidP="0055413B">
            <w:pPr>
              <w:rPr>
                <w:rFonts w:eastAsiaTheme="minorEastAsia"/>
              </w:rPr>
            </w:pPr>
          </w:p>
        </w:tc>
      </w:tr>
    </w:tbl>
    <w:p w:rsidR="00C939A0" w:rsidRDefault="00C939A0" w:rsidP="00C939A0">
      <w:pPr>
        <w:rPr>
          <w:rFonts w:eastAsia="Times New Roman"/>
          <w:vanish/>
        </w:rPr>
      </w:pPr>
    </w:p>
    <w:p w:rsidR="00C939A0" w:rsidRDefault="00C939A0" w:rsidP="00C939A0">
      <w:pPr>
        <w:pStyle w:val="newncpi"/>
      </w:pPr>
      <w:r>
        <w:t xml:space="preserve">При подаче заявления уполномоченный орган вправе потребовать от заинтересованного лица документы, предусмотренные в абзацах </w:t>
      </w:r>
      <w:hyperlink r:id="rId19" w:anchor="a203" w:tooltip="+" w:history="1">
        <w:r>
          <w:rPr>
            <w:rStyle w:val="a3"/>
          </w:rPr>
          <w:t>втором–седьмом</w:t>
        </w:r>
      </w:hyperlink>
      <w:r>
        <w:t xml:space="preserve"> части первой пункта 2 статьи 15 Закона Республики Беларусь «Об основах административных процедур»;</w:t>
      </w:r>
    </w:p>
    <w:p w:rsidR="00C939A0" w:rsidRDefault="00C939A0" w:rsidP="00C939A0">
      <w:pPr>
        <w:pStyle w:val="underpoint"/>
      </w:pPr>
      <w:r>
        <w:t>2.2. </w:t>
      </w:r>
      <w:proofErr w:type="gramStart"/>
      <w:r>
        <w:t>запрашиваемые</w:t>
      </w:r>
      <w:proofErr w:type="gramEnd"/>
      <w:r>
        <w:t xml:space="preserve"> (получаемые) уполномоченным органом самостоятельно:</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2440"/>
        <w:gridCol w:w="7635"/>
      </w:tblGrid>
      <w:tr w:rsidR="00C939A0" w:rsidTr="0055413B">
        <w:trPr>
          <w:trHeight w:val="240"/>
        </w:trPr>
        <w:tc>
          <w:tcPr>
            <w:tcW w:w="1211" w:type="pct"/>
            <w:tcBorders>
              <w:top w:val="nil"/>
              <w:left w:val="nil"/>
              <w:bottom w:val="single" w:sz="4" w:space="0" w:color="auto"/>
              <w:right w:val="single" w:sz="4" w:space="0" w:color="auto"/>
            </w:tcBorders>
            <w:tcMar>
              <w:top w:w="0" w:type="dxa"/>
              <w:left w:w="6" w:type="dxa"/>
              <w:bottom w:w="0" w:type="dxa"/>
              <w:right w:w="6" w:type="dxa"/>
            </w:tcMar>
            <w:vAlign w:val="center"/>
            <w:hideMark/>
          </w:tcPr>
          <w:p w:rsidR="00C939A0" w:rsidRDefault="00C939A0" w:rsidP="0055413B">
            <w:pPr>
              <w:pStyle w:val="table10"/>
              <w:jc w:val="center"/>
              <w:rPr>
                <w:rFonts w:eastAsiaTheme="minorEastAsia"/>
              </w:rPr>
            </w:pPr>
            <w:r>
              <w:t>Наименование документа и (или) сведений</w:t>
            </w:r>
          </w:p>
        </w:tc>
        <w:tc>
          <w:tcPr>
            <w:tcW w:w="3789" w:type="pct"/>
            <w:tcBorders>
              <w:top w:val="nil"/>
              <w:left w:val="single" w:sz="4" w:space="0" w:color="auto"/>
              <w:bottom w:val="single" w:sz="4" w:space="0" w:color="auto"/>
              <w:right w:val="nil"/>
            </w:tcBorders>
            <w:tcMar>
              <w:top w:w="0" w:type="dxa"/>
              <w:left w:w="6" w:type="dxa"/>
              <w:bottom w:w="0" w:type="dxa"/>
              <w:right w:w="6" w:type="dxa"/>
            </w:tcMar>
            <w:vAlign w:val="center"/>
            <w:hideMark/>
          </w:tcPr>
          <w:p w:rsidR="00C939A0" w:rsidRDefault="00C939A0" w:rsidP="0055413B">
            <w:pPr>
              <w:pStyle w:val="table10"/>
              <w:jc w:val="center"/>
              <w:rPr>
                <w:rFonts w:eastAsiaTheme="minorEastAsia"/>
              </w:rPr>
            </w:pPr>
            <w:r>
              <w:t xml:space="preserve">Наименование государственного органа, иной организации, у которых запрашиваются (получаются) документ и (или) сведения, либо государственного информационного ресурса (системы), из которого уполномоченному органу должны предоставляться необходимые сведения в автоматическом и (или) автоматизированном режиме посредством общегосударственной автоматизированной </w:t>
            </w:r>
            <w:r>
              <w:lastRenderedPageBreak/>
              <w:t>информационной системы</w:t>
            </w:r>
          </w:p>
        </w:tc>
      </w:tr>
      <w:tr w:rsidR="00C939A0" w:rsidTr="0055413B">
        <w:trPr>
          <w:trHeight w:val="240"/>
        </w:trPr>
        <w:tc>
          <w:tcPr>
            <w:tcW w:w="1211" w:type="pct"/>
            <w:tcBorders>
              <w:top w:val="single" w:sz="4" w:space="0" w:color="auto"/>
              <w:left w:val="nil"/>
              <w:bottom w:val="nil"/>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r>
              <w:lastRenderedPageBreak/>
              <w:t>сведения о согласовании наружной рекламы</w:t>
            </w:r>
          </w:p>
        </w:tc>
        <w:tc>
          <w:tcPr>
            <w:tcW w:w="3789" w:type="pct"/>
            <w:tcBorders>
              <w:top w:val="single" w:sz="4" w:space="0" w:color="auto"/>
              <w:left w:val="single" w:sz="4" w:space="0" w:color="auto"/>
              <w:bottom w:val="nil"/>
              <w:right w:val="nil"/>
            </w:tcBorders>
            <w:tcMar>
              <w:top w:w="0" w:type="dxa"/>
              <w:left w:w="6" w:type="dxa"/>
              <w:bottom w:w="0" w:type="dxa"/>
              <w:right w:w="6" w:type="dxa"/>
            </w:tcMar>
            <w:hideMark/>
          </w:tcPr>
          <w:p w:rsidR="00C939A0" w:rsidRDefault="00C939A0" w:rsidP="0055413B">
            <w:pPr>
              <w:pStyle w:val="table10"/>
              <w:rPr>
                <w:rFonts w:eastAsiaTheme="minorEastAsia"/>
              </w:rPr>
            </w:pPr>
            <w:r>
              <w:t>соответствующий областной исполнительный комитет</w:t>
            </w:r>
          </w:p>
        </w:tc>
      </w:tr>
    </w:tbl>
    <w:p w:rsidR="00C939A0" w:rsidRDefault="00C939A0" w:rsidP="00C939A0">
      <w:pPr>
        <w:rPr>
          <w:rFonts w:eastAsia="Times New Roman"/>
          <w:vanish/>
        </w:rPr>
      </w:pPr>
    </w:p>
    <w:p w:rsidR="00C939A0" w:rsidRDefault="00C939A0" w:rsidP="00C939A0">
      <w:pPr>
        <w:pStyle w:val="point"/>
      </w:pPr>
      <w:r>
        <w:t>3. Сведения о справке или ином документе, выдаваемом (принимаемом, согласовываемом, утверждаемом) уполномоченным органом по результатам осуществления административной процедуры:</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4574"/>
        <w:gridCol w:w="2265"/>
        <w:gridCol w:w="3236"/>
      </w:tblGrid>
      <w:tr w:rsidR="00C939A0" w:rsidTr="0055413B">
        <w:trPr>
          <w:trHeight w:val="240"/>
        </w:trPr>
        <w:tc>
          <w:tcPr>
            <w:tcW w:w="2270" w:type="pct"/>
            <w:tcBorders>
              <w:top w:val="nil"/>
              <w:left w:val="nil"/>
              <w:bottom w:val="single" w:sz="4" w:space="0" w:color="auto"/>
              <w:right w:val="single" w:sz="4" w:space="0" w:color="auto"/>
            </w:tcBorders>
            <w:tcMar>
              <w:top w:w="0" w:type="dxa"/>
              <w:left w:w="6" w:type="dxa"/>
              <w:bottom w:w="0" w:type="dxa"/>
              <w:right w:w="6" w:type="dxa"/>
            </w:tcMar>
            <w:vAlign w:val="center"/>
            <w:hideMark/>
          </w:tcPr>
          <w:p w:rsidR="00C939A0" w:rsidRDefault="00C939A0" w:rsidP="0055413B">
            <w:pPr>
              <w:pStyle w:val="table10"/>
              <w:jc w:val="center"/>
              <w:rPr>
                <w:rFonts w:eastAsiaTheme="minorEastAsia"/>
              </w:rPr>
            </w:pPr>
            <w:r>
              <w:t>Наименование документа</w:t>
            </w:r>
          </w:p>
        </w:tc>
        <w:tc>
          <w:tcPr>
            <w:tcW w:w="1124" w:type="pct"/>
            <w:tcBorders>
              <w:top w:val="nil"/>
              <w:left w:val="single" w:sz="4" w:space="0" w:color="auto"/>
              <w:bottom w:val="single" w:sz="4" w:space="0" w:color="auto"/>
              <w:right w:val="single" w:sz="4" w:space="0" w:color="auto"/>
            </w:tcBorders>
            <w:tcMar>
              <w:top w:w="0" w:type="dxa"/>
              <w:left w:w="6" w:type="dxa"/>
              <w:bottom w:w="0" w:type="dxa"/>
              <w:right w:w="6" w:type="dxa"/>
            </w:tcMar>
            <w:vAlign w:val="center"/>
            <w:hideMark/>
          </w:tcPr>
          <w:p w:rsidR="00C939A0" w:rsidRDefault="00C939A0" w:rsidP="0055413B">
            <w:pPr>
              <w:pStyle w:val="table10"/>
              <w:jc w:val="center"/>
              <w:rPr>
                <w:rFonts w:eastAsiaTheme="minorEastAsia"/>
              </w:rPr>
            </w:pPr>
            <w:r>
              <w:t>Срок действия</w:t>
            </w:r>
          </w:p>
        </w:tc>
        <w:tc>
          <w:tcPr>
            <w:tcW w:w="1606" w:type="pct"/>
            <w:tcBorders>
              <w:top w:val="nil"/>
              <w:left w:val="single" w:sz="4" w:space="0" w:color="auto"/>
              <w:bottom w:val="single" w:sz="4" w:space="0" w:color="auto"/>
              <w:right w:val="nil"/>
            </w:tcBorders>
            <w:tcMar>
              <w:top w:w="0" w:type="dxa"/>
              <w:left w:w="6" w:type="dxa"/>
              <w:bottom w:w="0" w:type="dxa"/>
              <w:right w:w="6" w:type="dxa"/>
            </w:tcMar>
            <w:vAlign w:val="center"/>
            <w:hideMark/>
          </w:tcPr>
          <w:p w:rsidR="00C939A0" w:rsidRDefault="00C939A0" w:rsidP="0055413B">
            <w:pPr>
              <w:pStyle w:val="table10"/>
              <w:jc w:val="center"/>
              <w:rPr>
                <w:rFonts w:eastAsiaTheme="minorEastAsia"/>
              </w:rPr>
            </w:pPr>
            <w:r>
              <w:t>Форма представления</w:t>
            </w:r>
          </w:p>
        </w:tc>
      </w:tr>
      <w:tr w:rsidR="00C939A0" w:rsidTr="0055413B">
        <w:trPr>
          <w:trHeight w:val="240"/>
        </w:trPr>
        <w:tc>
          <w:tcPr>
            <w:tcW w:w="2270"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r>
              <w:t>макет наружной рекламы, рекламы на транспортном средстве, содержащий гриф «СОГЛАСОВАНО», а также дату согласования и подпись уполномоченного должностного лица с указанием его фамилии и инициалов, за исключением случая согласования наружной мультимедийной рекламы, представленной на электронном носителе</w:t>
            </w:r>
          </w:p>
        </w:tc>
        <w:tc>
          <w:tcPr>
            <w:tcW w:w="112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r>
              <w:t>бессрочно</w:t>
            </w:r>
          </w:p>
        </w:tc>
        <w:tc>
          <w:tcPr>
            <w:tcW w:w="1606" w:type="pct"/>
            <w:tcBorders>
              <w:top w:val="single" w:sz="4" w:space="0" w:color="auto"/>
              <w:left w:val="single" w:sz="4" w:space="0" w:color="auto"/>
              <w:bottom w:val="single" w:sz="4" w:space="0" w:color="auto"/>
              <w:right w:val="nil"/>
            </w:tcBorders>
            <w:tcMar>
              <w:top w:w="0" w:type="dxa"/>
              <w:left w:w="6" w:type="dxa"/>
              <w:bottom w:w="0" w:type="dxa"/>
              <w:right w:w="6" w:type="dxa"/>
            </w:tcMar>
            <w:hideMark/>
          </w:tcPr>
          <w:p w:rsidR="00C939A0" w:rsidRDefault="00C939A0" w:rsidP="0055413B">
            <w:pPr>
              <w:pStyle w:val="table10"/>
              <w:rPr>
                <w:rFonts w:eastAsiaTheme="minorEastAsia"/>
              </w:rPr>
            </w:pPr>
            <w:r>
              <w:t>письменная</w:t>
            </w:r>
          </w:p>
        </w:tc>
      </w:tr>
      <w:tr w:rsidR="00C939A0" w:rsidTr="0055413B">
        <w:trPr>
          <w:trHeight w:val="240"/>
        </w:trPr>
        <w:tc>
          <w:tcPr>
            <w:tcW w:w="2270" w:type="pct"/>
            <w:tcBorders>
              <w:top w:val="single" w:sz="4" w:space="0" w:color="auto"/>
              <w:left w:val="nil"/>
              <w:bottom w:val="nil"/>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r>
              <w:t>заключение о согласовании наружной мультимедийной рекламы, представленной на электронном носителе</w:t>
            </w:r>
          </w:p>
        </w:tc>
        <w:tc>
          <w:tcPr>
            <w:tcW w:w="1124" w:type="pct"/>
            <w:tcBorders>
              <w:top w:val="single" w:sz="4" w:space="0" w:color="auto"/>
              <w:left w:val="single" w:sz="4" w:space="0" w:color="auto"/>
              <w:bottom w:val="nil"/>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r>
              <w:t>бессрочно</w:t>
            </w:r>
          </w:p>
        </w:tc>
        <w:tc>
          <w:tcPr>
            <w:tcW w:w="1606" w:type="pct"/>
            <w:tcBorders>
              <w:top w:val="single" w:sz="4" w:space="0" w:color="auto"/>
              <w:left w:val="single" w:sz="4" w:space="0" w:color="auto"/>
              <w:bottom w:val="nil"/>
              <w:right w:val="nil"/>
            </w:tcBorders>
            <w:tcMar>
              <w:top w:w="0" w:type="dxa"/>
              <w:left w:w="6" w:type="dxa"/>
              <w:bottom w:w="0" w:type="dxa"/>
              <w:right w:w="6" w:type="dxa"/>
            </w:tcMar>
            <w:hideMark/>
          </w:tcPr>
          <w:p w:rsidR="00C939A0" w:rsidRDefault="00C939A0" w:rsidP="0055413B">
            <w:pPr>
              <w:pStyle w:val="table10"/>
              <w:rPr>
                <w:rFonts w:eastAsiaTheme="minorEastAsia"/>
              </w:rPr>
            </w:pPr>
            <w:r>
              <w:t>письменная</w:t>
            </w:r>
          </w:p>
        </w:tc>
      </w:tr>
    </w:tbl>
    <w:p w:rsidR="00C939A0" w:rsidRDefault="00C939A0" w:rsidP="00C939A0">
      <w:pPr>
        <w:pStyle w:val="point"/>
      </w:pPr>
      <w:r>
        <w:t>4. Порядок подачи (отзыва) административной жалобы:</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5152"/>
        <w:gridCol w:w="4923"/>
      </w:tblGrid>
      <w:tr w:rsidR="00C939A0" w:rsidTr="0055413B">
        <w:trPr>
          <w:trHeight w:val="240"/>
        </w:trPr>
        <w:tc>
          <w:tcPr>
            <w:tcW w:w="2557" w:type="pct"/>
            <w:tcBorders>
              <w:top w:val="nil"/>
              <w:left w:val="nil"/>
              <w:bottom w:val="single" w:sz="4" w:space="0" w:color="auto"/>
              <w:right w:val="single" w:sz="4" w:space="0" w:color="auto"/>
            </w:tcBorders>
            <w:tcMar>
              <w:top w:w="0" w:type="dxa"/>
              <w:left w:w="6" w:type="dxa"/>
              <w:bottom w:w="0" w:type="dxa"/>
              <w:right w:w="6" w:type="dxa"/>
            </w:tcMar>
            <w:vAlign w:val="center"/>
            <w:hideMark/>
          </w:tcPr>
          <w:p w:rsidR="00C939A0" w:rsidRDefault="00C939A0" w:rsidP="0055413B">
            <w:pPr>
              <w:pStyle w:val="table10"/>
              <w:jc w:val="center"/>
              <w:rPr>
                <w:rFonts w:eastAsiaTheme="minorEastAsia"/>
              </w:rPr>
            </w:pPr>
            <w:r>
              <w:t>Наименование государственного органа (иной организации), рассматривающего административную жалобу</w:t>
            </w:r>
          </w:p>
        </w:tc>
        <w:tc>
          <w:tcPr>
            <w:tcW w:w="2443" w:type="pct"/>
            <w:tcBorders>
              <w:top w:val="nil"/>
              <w:left w:val="single" w:sz="4" w:space="0" w:color="auto"/>
              <w:bottom w:val="single" w:sz="4" w:space="0" w:color="auto"/>
              <w:right w:val="nil"/>
            </w:tcBorders>
            <w:tcMar>
              <w:top w:w="0" w:type="dxa"/>
              <w:left w:w="6" w:type="dxa"/>
              <w:bottom w:w="0" w:type="dxa"/>
              <w:right w:w="6" w:type="dxa"/>
            </w:tcMar>
            <w:vAlign w:val="center"/>
            <w:hideMark/>
          </w:tcPr>
          <w:p w:rsidR="00C939A0" w:rsidRDefault="00C939A0" w:rsidP="0055413B">
            <w:pPr>
              <w:pStyle w:val="table10"/>
              <w:jc w:val="center"/>
              <w:rPr>
                <w:rFonts w:eastAsiaTheme="minorEastAsia"/>
              </w:rPr>
            </w:pPr>
            <w:r>
              <w:t>Форма подачи (отзыва) административной жалобы (электронная и (или) письменная форма)</w:t>
            </w:r>
          </w:p>
        </w:tc>
      </w:tr>
      <w:tr w:rsidR="00C939A0" w:rsidTr="0055413B">
        <w:trPr>
          <w:trHeight w:val="240"/>
        </w:trPr>
        <w:tc>
          <w:tcPr>
            <w:tcW w:w="2557" w:type="pct"/>
            <w:tcBorders>
              <w:top w:val="single" w:sz="4" w:space="0" w:color="auto"/>
              <w:left w:val="nil"/>
              <w:bottom w:val="nil"/>
              <w:right w:val="single" w:sz="4" w:space="0" w:color="auto"/>
            </w:tcBorders>
            <w:tcMar>
              <w:top w:w="0" w:type="dxa"/>
              <w:left w:w="6" w:type="dxa"/>
              <w:bottom w:w="0" w:type="dxa"/>
              <w:right w:w="6" w:type="dxa"/>
            </w:tcMar>
            <w:hideMark/>
          </w:tcPr>
          <w:p w:rsidR="00C939A0" w:rsidRDefault="00C939A0" w:rsidP="0055413B">
            <w:pPr>
              <w:pStyle w:val="table10"/>
              <w:rPr>
                <w:rFonts w:eastAsiaTheme="minorEastAsia"/>
              </w:rPr>
            </w:pPr>
            <w:r>
              <w:t>соответствующий областной исполнительный комитет – в случае обжалования административного решения, принятого городским (города областного подчинения) или районным исполнительным комитетом</w:t>
            </w:r>
          </w:p>
        </w:tc>
        <w:tc>
          <w:tcPr>
            <w:tcW w:w="2443" w:type="pct"/>
            <w:tcBorders>
              <w:top w:val="single" w:sz="4" w:space="0" w:color="auto"/>
              <w:left w:val="single" w:sz="4" w:space="0" w:color="auto"/>
              <w:bottom w:val="nil"/>
              <w:right w:val="nil"/>
            </w:tcBorders>
            <w:tcMar>
              <w:top w:w="0" w:type="dxa"/>
              <w:left w:w="6" w:type="dxa"/>
              <w:bottom w:w="0" w:type="dxa"/>
              <w:right w:w="6" w:type="dxa"/>
            </w:tcMar>
            <w:hideMark/>
          </w:tcPr>
          <w:p w:rsidR="00C939A0" w:rsidRDefault="00C939A0" w:rsidP="0055413B">
            <w:pPr>
              <w:pStyle w:val="table10"/>
              <w:rPr>
                <w:rFonts w:eastAsiaTheme="minorEastAsia"/>
              </w:rPr>
            </w:pPr>
            <w:r>
              <w:t>электронная и (или) письменная</w:t>
            </w:r>
          </w:p>
        </w:tc>
      </w:tr>
    </w:tbl>
    <w:p w:rsidR="00261961" w:rsidRPr="00F219D5" w:rsidRDefault="00261961" w:rsidP="00F219D5">
      <w:bookmarkStart w:id="3" w:name="_GoBack"/>
      <w:bookmarkEnd w:id="3"/>
    </w:p>
    <w:sectPr w:rsidR="00261961" w:rsidRPr="00F219D5" w:rsidSect="00844E8D">
      <w:pgSz w:w="11906" w:h="16838"/>
      <w:pgMar w:top="1134" w:right="709" w:bottom="709"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44D8"/>
    <w:rsid w:val="00067747"/>
    <w:rsid w:val="00075AEF"/>
    <w:rsid w:val="00125EF0"/>
    <w:rsid w:val="00261961"/>
    <w:rsid w:val="002A08B7"/>
    <w:rsid w:val="002A094B"/>
    <w:rsid w:val="002C4294"/>
    <w:rsid w:val="004522B5"/>
    <w:rsid w:val="00472B73"/>
    <w:rsid w:val="00502D87"/>
    <w:rsid w:val="005473FE"/>
    <w:rsid w:val="005E091A"/>
    <w:rsid w:val="006E7939"/>
    <w:rsid w:val="008053F3"/>
    <w:rsid w:val="00844E8D"/>
    <w:rsid w:val="00B756AA"/>
    <w:rsid w:val="00C23CA3"/>
    <w:rsid w:val="00C30DBF"/>
    <w:rsid w:val="00C710BE"/>
    <w:rsid w:val="00C939A0"/>
    <w:rsid w:val="00D95A70"/>
    <w:rsid w:val="00E51811"/>
    <w:rsid w:val="00E644D8"/>
    <w:rsid w:val="00F219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sz w:val="24"/>
        <w:szCs w:val="30"/>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apu1">
    <w:name w:val="capu1"/>
    <w:basedOn w:val="a"/>
    <w:rsid w:val="00E644D8"/>
    <w:pPr>
      <w:spacing w:before="100" w:beforeAutospacing="1" w:after="100" w:afterAutospacing="1" w:line="240" w:lineRule="auto"/>
    </w:pPr>
    <w:rPr>
      <w:rFonts w:eastAsia="Times New Roman"/>
      <w:sz w:val="24"/>
      <w:szCs w:val="24"/>
    </w:rPr>
  </w:style>
  <w:style w:type="paragraph" w:customStyle="1" w:styleId="cap1">
    <w:name w:val="cap1"/>
    <w:basedOn w:val="a"/>
    <w:rsid w:val="00E644D8"/>
    <w:pPr>
      <w:spacing w:before="100" w:beforeAutospacing="1" w:after="100" w:afterAutospacing="1" w:line="240" w:lineRule="auto"/>
    </w:pPr>
    <w:rPr>
      <w:rFonts w:eastAsia="Times New Roman"/>
      <w:sz w:val="24"/>
      <w:szCs w:val="24"/>
    </w:rPr>
  </w:style>
  <w:style w:type="character" w:styleId="a3">
    <w:name w:val="Hyperlink"/>
    <w:basedOn w:val="a0"/>
    <w:uiPriority w:val="99"/>
    <w:semiHidden/>
    <w:unhideWhenUsed/>
    <w:rsid w:val="00E644D8"/>
    <w:rPr>
      <w:color w:val="0000FF"/>
      <w:u w:val="single"/>
    </w:rPr>
  </w:style>
  <w:style w:type="paragraph" w:customStyle="1" w:styleId="titleu">
    <w:name w:val="titleu"/>
    <w:basedOn w:val="a"/>
    <w:rsid w:val="00E644D8"/>
    <w:pPr>
      <w:spacing w:before="100" w:beforeAutospacing="1" w:after="100" w:afterAutospacing="1" w:line="240" w:lineRule="auto"/>
    </w:pPr>
    <w:rPr>
      <w:rFonts w:eastAsia="Times New Roman"/>
      <w:sz w:val="24"/>
      <w:szCs w:val="24"/>
    </w:rPr>
  </w:style>
  <w:style w:type="character" w:customStyle="1" w:styleId="an">
    <w:name w:val="an"/>
    <w:basedOn w:val="a0"/>
    <w:rsid w:val="00E644D8"/>
  </w:style>
  <w:style w:type="paragraph" w:customStyle="1" w:styleId="point">
    <w:name w:val="point"/>
    <w:basedOn w:val="a"/>
    <w:rsid w:val="00E644D8"/>
    <w:pPr>
      <w:spacing w:before="100" w:beforeAutospacing="1" w:after="100" w:afterAutospacing="1" w:line="240" w:lineRule="auto"/>
    </w:pPr>
    <w:rPr>
      <w:rFonts w:eastAsia="Times New Roman"/>
      <w:sz w:val="24"/>
      <w:szCs w:val="24"/>
    </w:rPr>
  </w:style>
  <w:style w:type="paragraph" w:customStyle="1" w:styleId="underpoint">
    <w:name w:val="underpoint"/>
    <w:basedOn w:val="a"/>
    <w:rsid w:val="00E644D8"/>
    <w:pPr>
      <w:spacing w:before="100" w:beforeAutospacing="1" w:after="100" w:afterAutospacing="1" w:line="240" w:lineRule="auto"/>
    </w:pPr>
    <w:rPr>
      <w:rFonts w:eastAsia="Times New Roman"/>
      <w:sz w:val="24"/>
      <w:szCs w:val="24"/>
    </w:rPr>
  </w:style>
  <w:style w:type="paragraph" w:customStyle="1" w:styleId="newncpi">
    <w:name w:val="newncpi"/>
    <w:basedOn w:val="a"/>
    <w:rsid w:val="00E644D8"/>
    <w:pPr>
      <w:spacing w:before="100" w:beforeAutospacing="1" w:after="100" w:afterAutospacing="1" w:line="240" w:lineRule="auto"/>
    </w:pPr>
    <w:rPr>
      <w:rFonts w:eastAsia="Times New Roman"/>
      <w:sz w:val="24"/>
      <w:szCs w:val="24"/>
    </w:rPr>
  </w:style>
  <w:style w:type="paragraph" w:customStyle="1" w:styleId="table10">
    <w:name w:val="table10"/>
    <w:basedOn w:val="a"/>
    <w:link w:val="table100"/>
    <w:rsid w:val="00E644D8"/>
    <w:pPr>
      <w:spacing w:before="100" w:beforeAutospacing="1" w:after="100" w:afterAutospacing="1" w:line="240" w:lineRule="auto"/>
    </w:pPr>
    <w:rPr>
      <w:rFonts w:eastAsia="Times New Roman"/>
      <w:sz w:val="24"/>
      <w:szCs w:val="24"/>
    </w:rPr>
  </w:style>
  <w:style w:type="paragraph" w:styleId="a4">
    <w:name w:val="Balloon Text"/>
    <w:basedOn w:val="a"/>
    <w:link w:val="a5"/>
    <w:uiPriority w:val="99"/>
    <w:semiHidden/>
    <w:unhideWhenUsed/>
    <w:rsid w:val="00E644D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644D8"/>
    <w:rPr>
      <w:rFonts w:ascii="Tahoma" w:hAnsi="Tahoma" w:cs="Tahoma"/>
      <w:sz w:val="16"/>
      <w:szCs w:val="16"/>
      <w:lang w:eastAsia="ru-RU"/>
    </w:rPr>
  </w:style>
  <w:style w:type="character" w:customStyle="1" w:styleId="FontStyle13">
    <w:name w:val="Font Style13"/>
    <w:rsid w:val="002A08B7"/>
    <w:rPr>
      <w:rFonts w:ascii="Times New Roman" w:hAnsi="Times New Roman" w:cs="Times New Roman" w:hint="default"/>
      <w:b/>
      <w:bCs/>
      <w:i/>
      <w:iCs/>
      <w:sz w:val="34"/>
      <w:szCs w:val="34"/>
    </w:rPr>
  </w:style>
  <w:style w:type="character" w:customStyle="1" w:styleId="table100">
    <w:name w:val="table10 Знак"/>
    <w:link w:val="table10"/>
    <w:rsid w:val="002A08B7"/>
    <w:rPr>
      <w:rFonts w:eastAsia="Times New Roman"/>
      <w:szCs w:val="24"/>
      <w:lang w:eastAsia="ru-RU"/>
    </w:rPr>
  </w:style>
  <w:style w:type="paragraph" w:styleId="a6">
    <w:name w:val="Normal (Web)"/>
    <w:basedOn w:val="a"/>
    <w:rsid w:val="002A08B7"/>
    <w:pPr>
      <w:spacing w:before="100" w:beforeAutospacing="1" w:after="100" w:afterAutospacing="1" w:line="240" w:lineRule="auto"/>
    </w:pPr>
    <w:rPr>
      <w:rFonts w:eastAsia="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sz w:val="24"/>
        <w:szCs w:val="30"/>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apu1">
    <w:name w:val="capu1"/>
    <w:basedOn w:val="a"/>
    <w:rsid w:val="00E644D8"/>
    <w:pPr>
      <w:spacing w:before="100" w:beforeAutospacing="1" w:after="100" w:afterAutospacing="1" w:line="240" w:lineRule="auto"/>
    </w:pPr>
    <w:rPr>
      <w:rFonts w:eastAsia="Times New Roman"/>
      <w:sz w:val="24"/>
      <w:szCs w:val="24"/>
    </w:rPr>
  </w:style>
  <w:style w:type="paragraph" w:customStyle="1" w:styleId="cap1">
    <w:name w:val="cap1"/>
    <w:basedOn w:val="a"/>
    <w:rsid w:val="00E644D8"/>
    <w:pPr>
      <w:spacing w:before="100" w:beforeAutospacing="1" w:after="100" w:afterAutospacing="1" w:line="240" w:lineRule="auto"/>
    </w:pPr>
    <w:rPr>
      <w:rFonts w:eastAsia="Times New Roman"/>
      <w:sz w:val="24"/>
      <w:szCs w:val="24"/>
    </w:rPr>
  </w:style>
  <w:style w:type="character" w:styleId="a3">
    <w:name w:val="Hyperlink"/>
    <w:basedOn w:val="a0"/>
    <w:uiPriority w:val="99"/>
    <w:semiHidden/>
    <w:unhideWhenUsed/>
    <w:rsid w:val="00E644D8"/>
    <w:rPr>
      <w:color w:val="0000FF"/>
      <w:u w:val="single"/>
    </w:rPr>
  </w:style>
  <w:style w:type="paragraph" w:customStyle="1" w:styleId="titleu">
    <w:name w:val="titleu"/>
    <w:basedOn w:val="a"/>
    <w:rsid w:val="00E644D8"/>
    <w:pPr>
      <w:spacing w:before="100" w:beforeAutospacing="1" w:after="100" w:afterAutospacing="1" w:line="240" w:lineRule="auto"/>
    </w:pPr>
    <w:rPr>
      <w:rFonts w:eastAsia="Times New Roman"/>
      <w:sz w:val="24"/>
      <w:szCs w:val="24"/>
    </w:rPr>
  </w:style>
  <w:style w:type="character" w:customStyle="1" w:styleId="an">
    <w:name w:val="an"/>
    <w:basedOn w:val="a0"/>
    <w:rsid w:val="00E644D8"/>
  </w:style>
  <w:style w:type="paragraph" w:customStyle="1" w:styleId="point">
    <w:name w:val="point"/>
    <w:basedOn w:val="a"/>
    <w:rsid w:val="00E644D8"/>
    <w:pPr>
      <w:spacing w:before="100" w:beforeAutospacing="1" w:after="100" w:afterAutospacing="1" w:line="240" w:lineRule="auto"/>
    </w:pPr>
    <w:rPr>
      <w:rFonts w:eastAsia="Times New Roman"/>
      <w:sz w:val="24"/>
      <w:szCs w:val="24"/>
    </w:rPr>
  </w:style>
  <w:style w:type="paragraph" w:customStyle="1" w:styleId="underpoint">
    <w:name w:val="underpoint"/>
    <w:basedOn w:val="a"/>
    <w:rsid w:val="00E644D8"/>
    <w:pPr>
      <w:spacing w:before="100" w:beforeAutospacing="1" w:after="100" w:afterAutospacing="1" w:line="240" w:lineRule="auto"/>
    </w:pPr>
    <w:rPr>
      <w:rFonts w:eastAsia="Times New Roman"/>
      <w:sz w:val="24"/>
      <w:szCs w:val="24"/>
    </w:rPr>
  </w:style>
  <w:style w:type="paragraph" w:customStyle="1" w:styleId="newncpi">
    <w:name w:val="newncpi"/>
    <w:basedOn w:val="a"/>
    <w:rsid w:val="00E644D8"/>
    <w:pPr>
      <w:spacing w:before="100" w:beforeAutospacing="1" w:after="100" w:afterAutospacing="1" w:line="240" w:lineRule="auto"/>
    </w:pPr>
    <w:rPr>
      <w:rFonts w:eastAsia="Times New Roman"/>
      <w:sz w:val="24"/>
      <w:szCs w:val="24"/>
    </w:rPr>
  </w:style>
  <w:style w:type="paragraph" w:customStyle="1" w:styleId="table10">
    <w:name w:val="table10"/>
    <w:basedOn w:val="a"/>
    <w:link w:val="table100"/>
    <w:rsid w:val="00E644D8"/>
    <w:pPr>
      <w:spacing w:before="100" w:beforeAutospacing="1" w:after="100" w:afterAutospacing="1" w:line="240" w:lineRule="auto"/>
    </w:pPr>
    <w:rPr>
      <w:rFonts w:eastAsia="Times New Roman"/>
      <w:sz w:val="24"/>
      <w:szCs w:val="24"/>
    </w:rPr>
  </w:style>
  <w:style w:type="paragraph" w:styleId="a4">
    <w:name w:val="Balloon Text"/>
    <w:basedOn w:val="a"/>
    <w:link w:val="a5"/>
    <w:uiPriority w:val="99"/>
    <w:semiHidden/>
    <w:unhideWhenUsed/>
    <w:rsid w:val="00E644D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644D8"/>
    <w:rPr>
      <w:rFonts w:ascii="Tahoma" w:hAnsi="Tahoma" w:cs="Tahoma"/>
      <w:sz w:val="16"/>
      <w:szCs w:val="16"/>
      <w:lang w:eastAsia="ru-RU"/>
    </w:rPr>
  </w:style>
  <w:style w:type="character" w:customStyle="1" w:styleId="FontStyle13">
    <w:name w:val="Font Style13"/>
    <w:rsid w:val="002A08B7"/>
    <w:rPr>
      <w:rFonts w:ascii="Times New Roman" w:hAnsi="Times New Roman" w:cs="Times New Roman" w:hint="default"/>
      <w:b/>
      <w:bCs/>
      <w:i/>
      <w:iCs/>
      <w:sz w:val="34"/>
      <w:szCs w:val="34"/>
    </w:rPr>
  </w:style>
  <w:style w:type="character" w:customStyle="1" w:styleId="table100">
    <w:name w:val="table10 Знак"/>
    <w:link w:val="table10"/>
    <w:rsid w:val="002A08B7"/>
    <w:rPr>
      <w:rFonts w:eastAsia="Times New Roman"/>
      <w:szCs w:val="24"/>
      <w:lang w:eastAsia="ru-RU"/>
    </w:rPr>
  </w:style>
  <w:style w:type="paragraph" w:styleId="a6">
    <w:name w:val="Normal (Web)"/>
    <w:basedOn w:val="a"/>
    <w:rsid w:val="002A08B7"/>
    <w:pPr>
      <w:spacing w:before="100" w:beforeAutospacing="1" w:after="100" w:afterAutospacing="1" w:line="240" w:lineRule="auto"/>
    </w:pPr>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32596">
      <w:bodyDiv w:val="1"/>
      <w:marLeft w:val="0"/>
      <w:marRight w:val="0"/>
      <w:marTop w:val="0"/>
      <w:marBottom w:val="0"/>
      <w:divBdr>
        <w:top w:val="none" w:sz="0" w:space="0" w:color="auto"/>
        <w:left w:val="none" w:sz="0" w:space="0" w:color="auto"/>
        <w:bottom w:val="none" w:sz="0" w:space="0" w:color="auto"/>
        <w:right w:val="none" w:sz="0" w:space="0" w:color="auto"/>
      </w:divBdr>
    </w:div>
    <w:div w:id="40832998">
      <w:bodyDiv w:val="1"/>
      <w:marLeft w:val="0"/>
      <w:marRight w:val="0"/>
      <w:marTop w:val="0"/>
      <w:marBottom w:val="0"/>
      <w:divBdr>
        <w:top w:val="none" w:sz="0" w:space="0" w:color="auto"/>
        <w:left w:val="none" w:sz="0" w:space="0" w:color="auto"/>
        <w:bottom w:val="none" w:sz="0" w:space="0" w:color="auto"/>
        <w:right w:val="none" w:sz="0" w:space="0" w:color="auto"/>
      </w:divBdr>
    </w:div>
    <w:div w:id="103624205">
      <w:bodyDiv w:val="1"/>
      <w:marLeft w:val="0"/>
      <w:marRight w:val="0"/>
      <w:marTop w:val="0"/>
      <w:marBottom w:val="0"/>
      <w:divBdr>
        <w:top w:val="none" w:sz="0" w:space="0" w:color="auto"/>
        <w:left w:val="none" w:sz="0" w:space="0" w:color="auto"/>
        <w:bottom w:val="none" w:sz="0" w:space="0" w:color="auto"/>
        <w:right w:val="none" w:sz="0" w:space="0" w:color="auto"/>
      </w:divBdr>
    </w:div>
    <w:div w:id="233123532">
      <w:bodyDiv w:val="1"/>
      <w:marLeft w:val="0"/>
      <w:marRight w:val="0"/>
      <w:marTop w:val="0"/>
      <w:marBottom w:val="0"/>
      <w:divBdr>
        <w:top w:val="none" w:sz="0" w:space="0" w:color="auto"/>
        <w:left w:val="none" w:sz="0" w:space="0" w:color="auto"/>
        <w:bottom w:val="none" w:sz="0" w:space="0" w:color="auto"/>
        <w:right w:val="none" w:sz="0" w:space="0" w:color="auto"/>
      </w:divBdr>
    </w:div>
    <w:div w:id="369382152">
      <w:bodyDiv w:val="1"/>
      <w:marLeft w:val="0"/>
      <w:marRight w:val="0"/>
      <w:marTop w:val="0"/>
      <w:marBottom w:val="0"/>
      <w:divBdr>
        <w:top w:val="none" w:sz="0" w:space="0" w:color="auto"/>
        <w:left w:val="none" w:sz="0" w:space="0" w:color="auto"/>
        <w:bottom w:val="none" w:sz="0" w:space="0" w:color="auto"/>
        <w:right w:val="none" w:sz="0" w:space="0" w:color="auto"/>
      </w:divBdr>
    </w:div>
    <w:div w:id="513306903">
      <w:bodyDiv w:val="1"/>
      <w:marLeft w:val="0"/>
      <w:marRight w:val="0"/>
      <w:marTop w:val="0"/>
      <w:marBottom w:val="0"/>
      <w:divBdr>
        <w:top w:val="none" w:sz="0" w:space="0" w:color="auto"/>
        <w:left w:val="none" w:sz="0" w:space="0" w:color="auto"/>
        <w:bottom w:val="none" w:sz="0" w:space="0" w:color="auto"/>
        <w:right w:val="none" w:sz="0" w:space="0" w:color="auto"/>
      </w:divBdr>
    </w:div>
    <w:div w:id="638533373">
      <w:bodyDiv w:val="1"/>
      <w:marLeft w:val="0"/>
      <w:marRight w:val="0"/>
      <w:marTop w:val="0"/>
      <w:marBottom w:val="0"/>
      <w:divBdr>
        <w:top w:val="none" w:sz="0" w:space="0" w:color="auto"/>
        <w:left w:val="none" w:sz="0" w:space="0" w:color="auto"/>
        <w:bottom w:val="none" w:sz="0" w:space="0" w:color="auto"/>
        <w:right w:val="none" w:sz="0" w:space="0" w:color="auto"/>
      </w:divBdr>
    </w:div>
    <w:div w:id="1018241247">
      <w:bodyDiv w:val="1"/>
      <w:marLeft w:val="0"/>
      <w:marRight w:val="0"/>
      <w:marTop w:val="0"/>
      <w:marBottom w:val="0"/>
      <w:divBdr>
        <w:top w:val="none" w:sz="0" w:space="0" w:color="auto"/>
        <w:left w:val="none" w:sz="0" w:space="0" w:color="auto"/>
        <w:bottom w:val="none" w:sz="0" w:space="0" w:color="auto"/>
        <w:right w:val="none" w:sz="0" w:space="0" w:color="auto"/>
      </w:divBdr>
    </w:div>
    <w:div w:id="1147942873">
      <w:bodyDiv w:val="1"/>
      <w:marLeft w:val="0"/>
      <w:marRight w:val="0"/>
      <w:marTop w:val="0"/>
      <w:marBottom w:val="0"/>
      <w:divBdr>
        <w:top w:val="none" w:sz="0" w:space="0" w:color="auto"/>
        <w:left w:val="none" w:sz="0" w:space="0" w:color="auto"/>
        <w:bottom w:val="none" w:sz="0" w:space="0" w:color="auto"/>
        <w:right w:val="none" w:sz="0" w:space="0" w:color="auto"/>
      </w:divBdr>
    </w:div>
    <w:div w:id="1196846985">
      <w:bodyDiv w:val="1"/>
      <w:marLeft w:val="0"/>
      <w:marRight w:val="0"/>
      <w:marTop w:val="0"/>
      <w:marBottom w:val="0"/>
      <w:divBdr>
        <w:top w:val="none" w:sz="0" w:space="0" w:color="auto"/>
        <w:left w:val="none" w:sz="0" w:space="0" w:color="auto"/>
        <w:bottom w:val="none" w:sz="0" w:space="0" w:color="auto"/>
        <w:right w:val="none" w:sz="0" w:space="0" w:color="auto"/>
      </w:divBdr>
    </w:div>
    <w:div w:id="1325888216">
      <w:bodyDiv w:val="1"/>
      <w:marLeft w:val="0"/>
      <w:marRight w:val="0"/>
      <w:marTop w:val="0"/>
      <w:marBottom w:val="0"/>
      <w:divBdr>
        <w:top w:val="none" w:sz="0" w:space="0" w:color="auto"/>
        <w:left w:val="none" w:sz="0" w:space="0" w:color="auto"/>
        <w:bottom w:val="none" w:sz="0" w:space="0" w:color="auto"/>
        <w:right w:val="none" w:sz="0" w:space="0" w:color="auto"/>
      </w:divBdr>
    </w:div>
    <w:div w:id="1373312385">
      <w:bodyDiv w:val="1"/>
      <w:marLeft w:val="0"/>
      <w:marRight w:val="0"/>
      <w:marTop w:val="0"/>
      <w:marBottom w:val="0"/>
      <w:divBdr>
        <w:top w:val="none" w:sz="0" w:space="0" w:color="auto"/>
        <w:left w:val="none" w:sz="0" w:space="0" w:color="auto"/>
        <w:bottom w:val="none" w:sz="0" w:space="0" w:color="auto"/>
        <w:right w:val="none" w:sz="0" w:space="0" w:color="auto"/>
      </w:divBdr>
    </w:div>
    <w:div w:id="1444420273">
      <w:bodyDiv w:val="1"/>
      <w:marLeft w:val="0"/>
      <w:marRight w:val="0"/>
      <w:marTop w:val="0"/>
      <w:marBottom w:val="0"/>
      <w:divBdr>
        <w:top w:val="none" w:sz="0" w:space="0" w:color="auto"/>
        <w:left w:val="none" w:sz="0" w:space="0" w:color="auto"/>
        <w:bottom w:val="none" w:sz="0" w:space="0" w:color="auto"/>
        <w:right w:val="none" w:sz="0" w:space="0" w:color="auto"/>
      </w:divBdr>
    </w:div>
    <w:div w:id="1606841094">
      <w:bodyDiv w:val="1"/>
      <w:marLeft w:val="0"/>
      <w:marRight w:val="0"/>
      <w:marTop w:val="0"/>
      <w:marBottom w:val="0"/>
      <w:divBdr>
        <w:top w:val="none" w:sz="0" w:space="0" w:color="auto"/>
        <w:left w:val="none" w:sz="0" w:space="0" w:color="auto"/>
        <w:bottom w:val="none" w:sz="0" w:space="0" w:color="auto"/>
        <w:right w:val="none" w:sz="0" w:space="0" w:color="auto"/>
      </w:divBdr>
    </w:div>
    <w:div w:id="1864128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x.dll?d=360770&amp;a=39" TargetMode="External"/><Relationship Id="rId13" Type="http://schemas.openxmlformats.org/officeDocument/2006/relationships/hyperlink" Target="tx.dll?d=98153&amp;a=370" TargetMode="External"/><Relationship Id="rId18" Type="http://schemas.openxmlformats.org/officeDocument/2006/relationships/hyperlink" Target="tx.dll?d=466837&amp;a=30"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tx.dll?d=144501&amp;a=68" TargetMode="External"/><Relationship Id="rId12" Type="http://schemas.openxmlformats.org/officeDocument/2006/relationships/hyperlink" Target="tx.dll?d=98153&amp;a=369" TargetMode="External"/><Relationship Id="rId17" Type="http://schemas.openxmlformats.org/officeDocument/2006/relationships/hyperlink" Target="tx.dll?d=144501&amp;a=68" TargetMode="External"/><Relationship Id="rId2" Type="http://schemas.microsoft.com/office/2007/relationships/stylesWithEffects" Target="stylesWithEffects.xml"/><Relationship Id="rId16" Type="http://schemas.openxmlformats.org/officeDocument/2006/relationships/hyperlink" Target="tx.dll?d=98153&amp;a=370"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tx.dll?d=98153&amp;a=38" TargetMode="External"/><Relationship Id="rId11" Type="http://schemas.openxmlformats.org/officeDocument/2006/relationships/hyperlink" Target="tx.dll?d=466837&amp;a=3" TargetMode="External"/><Relationship Id="rId5" Type="http://schemas.openxmlformats.org/officeDocument/2006/relationships/hyperlink" Target="tx.dll?d=466341&amp;a=1456" TargetMode="External"/><Relationship Id="rId15" Type="http://schemas.openxmlformats.org/officeDocument/2006/relationships/hyperlink" Target="tx.dll?d=98153&amp;a=369" TargetMode="External"/><Relationship Id="rId10" Type="http://schemas.openxmlformats.org/officeDocument/2006/relationships/hyperlink" Target="tx.dll?d=466341&amp;a=5" TargetMode="External"/><Relationship Id="rId19" Type="http://schemas.openxmlformats.org/officeDocument/2006/relationships/hyperlink" Target="tx.dll?d=144501&amp;a=203" TargetMode="External"/><Relationship Id="rId4" Type="http://schemas.openxmlformats.org/officeDocument/2006/relationships/webSettings" Target="webSettings.xml"/><Relationship Id="rId9" Type="http://schemas.openxmlformats.org/officeDocument/2006/relationships/hyperlink" Target="tx.dll?d=384924&amp;a=3" TargetMode="External"/><Relationship Id="rId14" Type="http://schemas.openxmlformats.org/officeDocument/2006/relationships/hyperlink" Target="tx.dll?d=460672&amp;a=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5</Pages>
  <Words>1588</Words>
  <Characters>9054</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10621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119-I</cp:lastModifiedBy>
  <cp:revision>21</cp:revision>
  <cp:lastPrinted>2024-09-23T12:11:00Z</cp:lastPrinted>
  <dcterms:created xsi:type="dcterms:W3CDTF">2022-07-26T08:05:00Z</dcterms:created>
  <dcterms:modified xsi:type="dcterms:W3CDTF">2024-09-23T12:11:00Z</dcterms:modified>
</cp:coreProperties>
</file>